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09.0" w:type="dxa"/>
        <w:jc w:val="left"/>
        <w:tblInd w:w="-72.0" w:type="dxa"/>
        <w:tblLayout w:type="fixed"/>
        <w:tblLook w:val="0000"/>
      </w:tblPr>
      <w:tblGrid>
        <w:gridCol w:w="4041"/>
        <w:gridCol w:w="5668"/>
        <w:tblGridChange w:id="0">
          <w:tblGrid>
            <w:gridCol w:w="4041"/>
            <w:gridCol w:w="5668"/>
          </w:tblGrid>
        </w:tblGridChange>
      </w:tblGrid>
      <w:tr>
        <w:trPr>
          <w:cantSplit w:val="0"/>
          <w:tblHeader w:val="0"/>
        </w:trPr>
        <w:tc>
          <w:tcPr/>
          <w:p w:rsidR="00000000" w:rsidDel="00000000" w:rsidP="00000000" w:rsidRDefault="00000000" w:rsidRPr="00000000" w14:paraId="00000002">
            <w:pPr>
              <w:pStyle w:val="Heading3"/>
              <w:spacing w:after="0" w:before="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BỘ KHOA HỌC VÀ CÔNG NGHỆ</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490855</wp:posOffset>
                      </wp:positionH>
                      <wp:positionV relativeFrom="paragraph">
                        <wp:posOffset>224616</wp:posOffset>
                      </wp:positionV>
                      <wp:extent cx="1485900" cy="12700"/>
                      <wp:effectExtent b="0" l="0" r="0" t="0"/>
                      <wp:wrapNone/>
                      <wp:docPr id="2" name=""/>
                      <a:graphic>
                        <a:graphicData uri="http://schemas.microsoft.com/office/word/2010/wordprocessingShape">
                          <wps:wsp>
                            <wps:cNvCnPr/>
                            <wps:spPr>
                              <a:xfrm>
                                <a:off x="4603050" y="3780000"/>
                                <a:ext cx="1485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490855</wp:posOffset>
                      </wp:positionH>
                      <wp:positionV relativeFrom="paragraph">
                        <wp:posOffset>224616</wp:posOffset>
                      </wp:positionV>
                      <wp:extent cx="14859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85900" cy="12700"/>
                              </a:xfrm>
                              <a:prstGeom prst="rect"/>
                              <a:ln/>
                            </pic:spPr>
                          </pic:pic>
                        </a:graphicData>
                      </a:graphic>
                    </wp:anchor>
                  </w:drawing>
                </mc:Fallback>
              </mc:AlternateContent>
            </w:r>
          </w:p>
        </w:tc>
        <w:tc>
          <w:tcPr/>
          <w:p w:rsidR="00000000" w:rsidDel="00000000" w:rsidP="00000000" w:rsidRDefault="00000000" w:rsidRPr="00000000" w14:paraId="00000003">
            <w:pPr>
              <w:pStyle w:val="Heading3"/>
              <w:tabs>
                <w:tab w:val="left" w:leader="none" w:pos="0"/>
              </w:tabs>
              <w:spacing w:after="0" w:before="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CỘNG HÒA XÃ HỘI CHỦ NGHĨA VIỆT NAM</w:t>
            </w:r>
          </w:p>
          <w:p w:rsidR="00000000" w:rsidDel="00000000" w:rsidP="00000000" w:rsidRDefault="00000000" w:rsidRPr="00000000" w14:paraId="00000004">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Độc lập - Tự do - Hạnh phúc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831308</wp:posOffset>
                      </wp:positionH>
                      <wp:positionV relativeFrom="paragraph">
                        <wp:posOffset>239395</wp:posOffset>
                      </wp:positionV>
                      <wp:extent cx="1836000" cy="12700"/>
                      <wp:effectExtent b="0" l="0" r="0" t="0"/>
                      <wp:wrapNone/>
                      <wp:docPr id="1" name=""/>
                      <a:graphic>
                        <a:graphicData uri="http://schemas.microsoft.com/office/word/2010/wordprocessingShape">
                          <wps:wsp>
                            <wps:cNvCnPr/>
                            <wps:spPr>
                              <a:xfrm>
                                <a:off x="4428000" y="3780000"/>
                                <a:ext cx="183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831308</wp:posOffset>
                      </wp:positionH>
                      <wp:positionV relativeFrom="paragraph">
                        <wp:posOffset>239395</wp:posOffset>
                      </wp:positionV>
                      <wp:extent cx="18360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36000" cy="12700"/>
                              </a:xfrm>
                              <a:prstGeom prst="rect"/>
                              <a:ln/>
                            </pic:spPr>
                          </pic:pic>
                        </a:graphicData>
                      </a:graphic>
                    </wp:anchor>
                  </w:drawing>
                </mc:Fallback>
              </mc:AlternateContent>
            </w:r>
          </w:p>
        </w:tc>
      </w:tr>
    </w:tbl>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BÁO CÁO</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TÌNH HÌNH TRIỂN KHAI CÔNG NGHỆ CHIẾN LƯỢC</w:t>
      </w:r>
    </w:p>
    <w:p w:rsidR="00000000" w:rsidDel="00000000" w:rsidP="00000000" w:rsidRDefault="00000000" w:rsidRPr="00000000" w14:paraId="00000008">
      <w:pPr>
        <w:keepLines w:val="1"/>
        <w:spacing w:after="0" w:line="240" w:lineRule="auto"/>
        <w:jc w:val="center"/>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9">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r>
      <w:r w:rsidDel="00000000" w:rsidR="00000000" w:rsidRPr="00000000">
        <w:rPr>
          <w:rFonts w:ascii="Times New Roman" w:cs="Times New Roman" w:eastAsia="Times New Roman" w:hAnsi="Times New Roman"/>
          <w:sz w:val="28"/>
          <w:szCs w:val="28"/>
          <w:rtl w:val="0"/>
        </w:rPr>
        <w:t xml:space="preserve">Để phục vụ Hội nghị triển khai công nghệ chiến lược (CNCL) của Phó Thủ tướng Chính phủ Hồ Quốc Dũng, trên cơ sở báo cáo của các bộ, ngành, địa phương, viện trường và doanh nghiệp, Bộ Khoa học và Công nghệ (KH&amp;CN) xây dựng báo cáo tình hình triển khai công nghệ chiến lược, cụ thể như sau:</w:t>
      </w:r>
    </w:p>
    <w:p w:rsidR="00000000" w:rsidDel="00000000" w:rsidP="00000000" w:rsidRDefault="00000000" w:rsidRPr="00000000" w14:paraId="0000000A">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KẾT QUẢ BƯỚC ĐẦU TRIỂN KHAI</w:t>
      </w:r>
    </w:p>
    <w:p w:rsidR="00000000" w:rsidDel="00000000" w:rsidP="00000000" w:rsidRDefault="00000000" w:rsidRPr="00000000" w14:paraId="0000000B">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Công tác chỉ đạo, điều hành và tổ chức thực hiện</w:t>
      </w:r>
    </w:p>
    <w:p w:rsidR="00000000" w:rsidDel="00000000" w:rsidP="00000000" w:rsidRDefault="00000000" w:rsidRPr="00000000" w14:paraId="0000000C">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quyết số 57-NQ/TW của Bộ Chính trị đã xác định công nghệ chiến lược (CNCL) là nội dung trọng tâm, cốt lõi, cần được ưu tiên đầu tư về thể chế và nguồn lực để phát triển nhanh, bền vững, từng bước bảo đảm tự chủ và nâng cao năng lực cạnh tranh ở những lĩnh vực Việt Nam có nhu cầu, tiềm năng và lợi thế. Đại hội XIV của Đảng tiếp tục khẳng định khoa học, công nghệ, đổi mới sáng tạo và chuyển đổi số (KHCN, ĐMST, CĐS) là trọng tâm, trụ cột then chốt, động lực chính của mô hình tăng trưởng mới. </w:t>
      </w:r>
    </w:p>
    <w:p w:rsidR="00000000" w:rsidDel="00000000" w:rsidP="00000000" w:rsidRDefault="00000000" w:rsidRPr="00000000" w14:paraId="0000000D">
      <w:pPr>
        <w:spacing w:after="0" w:before="96.00000000000001"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chỉ đạo của đồng chí Tổng Bí thư Tô Lâm, Trưởng Ban Chỉ đạo Trung ương tại Thông báo số 03-TB/BCĐTW ngày 06/3/2025 và Nghị quyết số 03/NQ-CP ngày 09/01/2025 của Chính phủ</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Thủ tướng Chính phủ đã ký Quyết định số 1131/QĐ-TTg ngày 12/6/2025 ban hành Danh mục CNCL và sản phẩm CNSL (gồm 11 nhóm CNCL và 35 nhóm sản phẩm CNCL), đồng thời ban hành Quyết định số 2815/QĐ-TTg phê duyệt Chương trình khoa học, công nghệ và đổi mới sáng tạo quốc gia phát triển sản phẩm CNCL ưu tiên triển khai ngay (gồm 06 SPCNCL</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0" w:before="96.00000000000001"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18/3/2026, tại Phiên họp chuyên đề CNCL của Thường trực Ban Chỉ đạo nhằm đánh giá tình hình thực hiện và thảo luận giải pháp thúc đẩy CNCL, Tổng Bí thư Tô Lâm kết luận chỉ đạo như sau: </w:t>
      </w:r>
    </w:p>
    <w:p w:rsidR="00000000" w:rsidDel="00000000" w:rsidP="00000000" w:rsidRDefault="00000000" w:rsidRPr="00000000" w14:paraId="0000000F">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CNCL là vấn đề có ý nghĩa chiến lược, đặc biệt quan trọng, liên quan trực tiếp đến năng lực cạnh tranh quốc gia, khả năng tự chủ công nghệ và vị thế của đất nước trong giai đoạn mới. Đến nay, đã ban hành danh mục 11 nhóm CNCL và 35 SPCNCL, đồng thời lựa chọn 06 sản phẩm ưu tiên làm ngay. Tuy nhiên, khâu tổ chức thực hiện thời gian qua vẫn còn lúng túng, chưa tạo được chuyển biến thực chất, chưa có SPCNCL nào được triển khai bài bản, gắn chặt với yêu cầu của từng ngành, lĩnh vực, địa phương, doanh nghiệp tạo ra giá trị hiện hữu và đóng góp rõ nét vào nền kinh tế. Vì vậy, Tổng Bí thư đã đưa ra các yêu cầu và phân công nhiệm vụ về phát triển CNCL rất cụ thể (Thông báo kết luận số 22-TB/CQTTBCĐ ngày 20/3/2026). </w:t>
      </w:r>
    </w:p>
    <w:p w:rsidR="00000000" w:rsidDel="00000000" w:rsidP="00000000" w:rsidRDefault="00000000" w:rsidRPr="00000000" w14:paraId="00000010">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chỉ đạo của Tổng Bí thư, Bộ Khoa học và Công nghệ đã phối hợp với các bộ, cơ quan liên quan trình Thủ tướng Chính phủ: (1) Ban hành Danh mục CNCL và Danh mục SPCNCL (Quyết định số 21/2026/QĐ-TTg ngày 30/4/2026), gồm 10 nhóm CNCL và 30 nhóm SPCNCL (22 nhóm SPCNCL thuộc nhóm 1: Nhóm các sản phẩm công nghệ chiến lược đã có thị trường, có thể tạo ra tác động lớn và trực tiếp đến phát triển kinh tế và 08 nhóm SPCNCL thuộc nhóm 2: Nhóm các sản phẩm công nghệ tạo động lực tăng trưởng mới, công nghệ nền tảng cho tương lai, công nghệ bảo đảm tự chủ trong lĩnh vực an ninh, quốc phòng); (2) Ban hành Quyết định số 808/QĐ-TTg ngày 06/5/2026 giao 20 bài toán lớn cho 10 bộ, ngành chủ trì, chuyển từ định hướng tổng thể sang tổ chức thực hiện bài bản và (3) Thành lập Tổ Công tác của Chính phủ về phát triển CNCL (Quyết định số 769/QĐ-TTg ngày 29/4/2026) do Phó Thủ tướng Chính phủ làm Tổ trưởng Tổ Công tác, Bộ trưởng Bộ KH&amp;CN làm Tổ phó Tổ Công tác và ban hành Quy chế hoạt động số 40/QĐ-TCT ngày 08/5/2026 theo nguyên tắc tập trung, thống nhất.</w:t>
      </w:r>
    </w:p>
    <w:p w:rsidR="00000000" w:rsidDel="00000000" w:rsidP="00000000" w:rsidRDefault="00000000" w:rsidRPr="00000000" w14:paraId="00000011">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Về thể chế, cơ chế chính sách</w:t>
      </w:r>
    </w:p>
    <w:p w:rsidR="00000000" w:rsidDel="00000000" w:rsidP="00000000" w:rsidRDefault="00000000" w:rsidRPr="00000000" w14:paraId="00000012">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Các bộ, ngành, địa phương đã tham mưu, trình Quốc hội khóa XV thông qua tại kỳ họp thứ 9 và thứ 10 nhiều Nghị quyết, dự án Luật có tác động đến lĩnh vực KH, CN, ĐMST và CĐS, gồm: 01 Nghị quyết, </w:t>
      </w:r>
      <w:r w:rsidDel="00000000" w:rsidR="00000000" w:rsidRPr="00000000">
        <w:rPr>
          <w:rFonts w:ascii="Times New Roman" w:cs="Times New Roman" w:eastAsia="Times New Roman" w:hAnsi="Times New Roman"/>
          <w:b w:val="1"/>
          <w:bCs w:val="1"/>
          <w:color w:val="ee0000"/>
          <w:sz w:val="28"/>
          <w:szCs w:val="28"/>
          <w:rtl w:val="0"/>
        </w:rPr>
        <w:t xml:space="preserve">18 </w:t>
      </w:r>
      <w:r w:rsidDel="00000000" w:rsidR="00000000" w:rsidRPr="00000000">
        <w:rPr>
          <w:rFonts w:ascii="Times New Roman" w:cs="Times New Roman" w:eastAsia="Times New Roman" w:hAnsi="Times New Roman"/>
          <w:sz w:val="28"/>
          <w:szCs w:val="28"/>
          <w:rtl w:val="0"/>
        </w:rPr>
        <w:t xml:space="preserve">Luật; trình Chính phủ ban hành </w:t>
      </w:r>
      <w:r w:rsidDel="00000000" w:rsidR="00000000" w:rsidRPr="00000000">
        <w:rPr>
          <w:rFonts w:ascii="Times New Roman" w:cs="Times New Roman" w:eastAsia="Times New Roman" w:hAnsi="Times New Roman"/>
          <w:b w:val="1"/>
          <w:bCs w:val="1"/>
          <w:color w:val="ee0000"/>
          <w:sz w:val="28"/>
          <w:szCs w:val="28"/>
          <w:rtl w:val="0"/>
        </w:rPr>
        <w:t xml:space="preserve">29</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Nghị định, Thủ tướng Chính phủ ban hành 07 Quyết định và các bộ, ngành ban hành </w:t>
      </w:r>
      <w:r w:rsidDel="00000000" w:rsidR="00000000" w:rsidRPr="00000000">
        <w:rPr>
          <w:rFonts w:ascii="Times New Roman" w:cs="Times New Roman" w:eastAsia="Times New Roman" w:hAnsi="Times New Roman"/>
          <w:b w:val="1"/>
          <w:bCs w:val="1"/>
          <w:color w:val="ee0000"/>
          <w:sz w:val="28"/>
          <w:szCs w:val="28"/>
          <w:rtl w:val="0"/>
        </w:rPr>
        <w:t xml:space="preserve">các </w:t>
      </w:r>
      <w:r w:rsidDel="00000000" w:rsidR="00000000" w:rsidRPr="00000000">
        <w:rPr>
          <w:rFonts w:ascii="Times New Roman" w:cs="Times New Roman" w:eastAsia="Times New Roman" w:hAnsi="Times New Roman"/>
          <w:sz w:val="28"/>
          <w:szCs w:val="28"/>
          <w:rtl w:val="0"/>
        </w:rPr>
        <w:t xml:space="preserve">Thông tư hướng dẫn. Nhiều văn bản quy định chi tiết, hướng dẫn thi hành cũng đang được triển khai xây dựng và ban hành. Trong đó, một số văn bản quan liên quan trực tiếp đến phát triển công nghệ chiến lược, như: Luật Khoa học, công nghệ và đổi mới sáng tạo số 93/2025/QH15; Luật Công nghệ cao số 133/2025/QH15, Luật Ngân sách nhà nước số 89/2025/QH15; </w:t>
      </w:r>
      <w:hyperlink r:id="rId8">
        <w:r w:rsidDel="00000000" w:rsidR="00000000" w:rsidRPr="00000000">
          <w:rPr>
            <w:rFonts w:ascii="Times New Roman" w:cs="Times New Roman" w:eastAsia="Times New Roman" w:hAnsi="Times New Roman"/>
            <w:sz w:val="28"/>
            <w:szCs w:val="28"/>
            <w:rtl w:val="0"/>
          </w:rPr>
          <w:t xml:space="preserve">Luật sửa đổi, bổ sung các luật về đấu thầu, đầu tư, hải quan, thuế, tài sản công</w:t>
        </w:r>
      </w:hyperlink>
      <w:r w:rsidDel="00000000" w:rsidR="00000000" w:rsidRPr="00000000">
        <w:rPr>
          <w:rFonts w:ascii="Times New Roman" w:cs="Times New Roman" w:eastAsia="Times New Roman" w:hAnsi="Times New Roman"/>
          <w:sz w:val="28"/>
          <w:szCs w:val="28"/>
          <w:rtl w:val="0"/>
        </w:rPr>
        <w:t xml:space="preserve">,...  số 90/2025/QH15; Luật Thuế Thu nhập doanh nghiệp số 67/2025/QH15; Luật Thuế Thu nhập cá nhân số 109/2025/QH15; Quyết định số 1131/QĐ-TTg ngày 12/6/2025 của Thủ tướng Chính phủ ban hành Danh mục công nghệ chiến lược và sản phẩm công nghệ chiến lược (gồm 11 nhóm CNCL và 35 nhóm SPCNCL và Quyết định số 21/2026/QĐ-TTg ngày 30/4/2026 ban hành Danh mục công nghệ chiến lược và Danh mục sản phẩm công nghệ chiến lược thay thế Quyết định số 1131/QĐ-TTg (gồm 10 nhóm CNCL và 30 nhóm SPCNCL); đồng thời ban hành Quyết định số 2815/QĐ-TTg ngày 28/12/2025 phê duyệt Chương trình khoa học, công nghệ và đổi mới sáng tạo quốc gia phát triển sản phẩm CNCL ưu tiên triển khai ngay (gồm 06 SPCNCL) và Quyết định số 808/QĐ-TTg ngày 06/5/2026 giao nhiệm vụ phát triển công nghệ chiến lược (gồm 20 bài toán lớn giao 10 Bộ, ngành triển khai thực hiện); Quyết định số 769/QĐ-TTg ngày 29 tháng 4 năm 2026 của Thủ tướng Chính phủ thành lập Tổ Công tác của Chính phủ về phát triển công nghệ chiến lược. Qua đó, hệ thống pháp luật có liên quan đến KH, CN, ĐMST và CĐS được xây dựng và hoàn thiện hành lang pháp lý đồng bộ, thống nhất, được xác định là yếu tố nền tảng, giữ vai trò then chốt trong thúc đẩy phát triển CNCL tại Việt Nam. Đây là tiền đề nhằm cụ thể hóa các chủ trương, định hướng của Đảng và Nhà nước, đồng thời tạo môi trường thuận lợi cho hoạt động nghiên cứu, ứng dụng, chuyển giao và sản xuất sản phẩm CNCL </w:t>
      </w:r>
      <w:r w:rsidDel="00000000" w:rsidR="00000000" w:rsidRPr="00000000">
        <w:rPr>
          <w:rFonts w:ascii="Times New Roman" w:cs="Times New Roman" w:eastAsia="Times New Roman" w:hAnsi="Times New Roman"/>
          <w:i w:val="1"/>
          <w:iCs w:val="1"/>
          <w:sz w:val="28"/>
          <w:szCs w:val="28"/>
          <w:rtl w:val="0"/>
        </w:rPr>
        <w:t xml:space="preserve">(Phụ lục 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Ngay từ khi ban hành Quyết định số 1131/QĐ-TTg, các bộ, ngành và địa phương đã tích cực xây dựng khoảng</w:t>
      </w:r>
      <w:r w:rsidDel="00000000" w:rsidR="00000000" w:rsidRPr="00000000">
        <w:rPr>
          <w:rFonts w:ascii="Times New Roman" w:cs="Times New Roman" w:eastAsia="Times New Roman" w:hAnsi="Times New Roman"/>
          <w:b w:val="1"/>
          <w:bCs w:val="1"/>
          <w:color w:val="ee0000"/>
          <w:sz w:val="28"/>
          <w:szCs w:val="28"/>
          <w:rtl w:val="0"/>
        </w:rPr>
        <w:t xml:space="preserve"> 55</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văn bản, gồm: Quyết định, Nghị quyết, kế hoạch, chương trình và đề án nhằm cụ thể hóa Danh mục công nghệ chiến lược, từng bước hình thành khung chính sách tương đối toàn diện để quản lý và hỗ trợ phát triển lĩnh vực này. Theo đó, các bộ, ngành tập trung triển khai các bài toán lớn về khoa học, công nghệ và chuyển đổi số; xây dựng cơ chế thử nghiệm có kiểm soát (sandbox); phát triển nguồn nhân lực công nghệ cao; thúc đẩy truy xuất nguồn gốc, chuyển giao công nghệ và nghiên cứu công nghệ mới trong các lĩnh vực nông nghiệp, công thương, ngân hàng, giáo dục và y tế. Đồng thời, nhiều địa phương như Hải Phòng, Bắc Ninh, Quảng Ninh, TP. Hồ Chí Minh, Lâm Đồng, Đồng Tháp, Tuyên Quang, Phú Thọ và Điện Biên đã chủ động lồng ghép phát triển công nghệ chiến lược vào kế hoạch phát triển kinh tế - xã hội, tập trung vào đổi mới công nghệ, AI, dữ liệu lớn, công nghệ vũ trụ, chuyển giao công nghệ và hỗ trợ doanh nghiệp đổi mới sáng tạo </w:t>
      </w:r>
      <w:r w:rsidDel="00000000" w:rsidR="00000000" w:rsidRPr="00000000">
        <w:rPr>
          <w:rFonts w:ascii="Times New Roman" w:cs="Times New Roman" w:eastAsia="Times New Roman" w:hAnsi="Times New Roman"/>
          <w:i w:val="1"/>
          <w:iCs w:val="1"/>
          <w:sz w:val="28"/>
          <w:szCs w:val="28"/>
          <w:rtl w:val="0"/>
        </w:rPr>
        <w:t xml:space="preserve">(Phụ lục II).</w:t>
      </w:r>
      <w:r w:rsidDel="00000000" w:rsidR="00000000" w:rsidRPr="00000000">
        <w:rPr>
          <w:rtl w:val="0"/>
        </w:rPr>
      </w:r>
    </w:p>
    <w:p w:rsidR="00000000" w:rsidDel="00000000" w:rsidP="00000000" w:rsidRDefault="00000000" w:rsidRPr="00000000" w14:paraId="00000014">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Hệ thống các văn bản đã ban hành cho thấy việc triển khai CNCL được thực hiện một cách quyết liệt và đồng bộ từ Trung ương đến địa phương. Quá trình triển khai đã thể hiện sự chuyển dịch rõ rệt từ các định hướng mang tính tổng thể sang việc xác định các bài toán cụ thể, đồng thời từng bước hình thành các cơ chế, chính sách hỗ trợ, lấy doanh nghiệp làm trung tâm trong thúc đẩy phát triển CNCL.</w:t>
      </w:r>
    </w:p>
    <w:p w:rsidR="00000000" w:rsidDel="00000000" w:rsidP="00000000" w:rsidRDefault="00000000" w:rsidRPr="00000000" w14:paraId="00000015">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Về hạ tầng khoa học và công nghệ</w:t>
      </w:r>
    </w:p>
    <w:p w:rsidR="00000000" w:rsidDel="00000000" w:rsidP="00000000" w:rsidRDefault="00000000" w:rsidRPr="00000000" w14:paraId="00000016">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r>
      <w:r w:rsidDel="00000000" w:rsidR="00000000" w:rsidRPr="00000000">
        <w:rPr>
          <w:rFonts w:ascii="Times New Roman" w:cs="Times New Roman" w:eastAsia="Times New Roman" w:hAnsi="Times New Roman"/>
          <w:sz w:val="28"/>
          <w:szCs w:val="28"/>
          <w:rtl w:val="0"/>
        </w:rPr>
        <w:t xml:space="preserve">Các cơ quan, doanh nghiệp trong nước đã bước đầu hình thành hạ tầng tính</w:t>
        <w:br w:type="textWrapping"/>
        <w:t xml:space="preserve">toán, nghiên cứu, thử nghiệm, sản xuất phục vụ nghiên cứu và phát triển CNCL: (1) Bộ Khoa học và Công nghệ đang xây dựng Đề án phát triển hệ thống các trung tâm nghiên cứu, thử nghiệm và các phòng thí nghiệm trọng điểm quốc gia tập trung cho CNCL; (2) Viện Hàn lâm Khoa học và Công nghệ Việt Nam đã triển khai đầu tư Dự án Trung tâm Vũ trụ Việt Nam với tổng mức đầu tư khoảng 7.318.856,3 triệu đồng; (3) Tập đoàn Viettel đã khởi công nhà máy chế tạo chip bán dẫn đầu tiên tại Việt Nam với tổng mức đầu tư khoảng 33 tỷ đồng từ ngân sách nhà nước; (4) Trong lĩnh vực trí tuệ nhân tạo, các doanh nghiệp lớn như FPT, Viettel, VNPT, CMC, Zalo đã đầu tư tổng cộng 4.208 GPU, bước đầu hình thành hạ tầng tính toán phục vụ nghiên cứu và phát triển trí tuệ nhân tạo trong nước; (5) Hạ tầng số và các phòng thí nghiệm bước đầu được đầu tư trọng điểm như: Hệ thống giáo dục đại học đã hình thành các đơn vị hạt nhân như Đại học Bách khoa Hà Nội với quy mô đầu tư phòng thí nghiệm (PTN) trên 330 tỷ đồng, trong đó PTN AI-Edge đạt 93 tỷ đồng; Bộ Nông nghiệp và Môi trường đang tập trung hoàn thiện 12 cơ sở dữ liệu chuyên ngành (đất đai, nghề cá, khí tượng thủy văn...) và kết nối thành công dữ liệu địa chính của 34/34 tỉnh, thành phố về Trung tâm Dữ liệu quốc gia; TP. Hồ Chí Minh đặt mục tiêu hình thành 05 - 07 trung tâm/PTN dùng chung phục vụ phát triển CNCL đến năm 2030.</w:t>
      </w:r>
    </w:p>
    <w:p w:rsidR="00000000" w:rsidDel="00000000" w:rsidP="00000000" w:rsidRDefault="00000000" w:rsidRPr="00000000" w14:paraId="00000017">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Về nguồn nhân lực</w:t>
      </w:r>
    </w:p>
    <w:p w:rsidR="00000000" w:rsidDel="00000000" w:rsidP="00000000" w:rsidRDefault="00000000" w:rsidRPr="00000000" w14:paraId="00000018">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Đã có một số kết quả triển khai như sau: (1) Chính phủ đã ban hành quy định về tuyển chọn và sử dụng Tổng công trình sư, Kiến trúc sư trưởng trong các chương trình công nghệ lớn; cơ chế, chính sách thu hút chuyên gia KH, CN, ĐMST và CĐS; (2) Thủ tướng Chính phủ đã phê duyệt Đề án đào tạo nguồn nhân lực phục vụ phát triển công nghệ cao giai đoạn 2025–2035 theo Quyết định số 1002/QĐ-TTg ngày 24/5/2025; (3) Bộ Tài Chính đã hình thành mạng lưới đổi mới sáng tạo và chuyên gia CNCL Việt Nam toàn cầu tại hơn 22 quốc gia và vùng lãnh thổ với trên 2.000 thành viên; (4) Bộ Giáo dục và Đào tạo đã ban hành chuẩn chương trình đào tạo đại học và thạc sĩ cho lĩnh vực vi mạch bán dẫn và các ngành STEM. Hiện nay, đã có 62 chương trình đào tạo bán dẫn tại 26 cơ sở giáo dục đại học. Bộ cũng đã triển khai cơ chế lựa chọn và thẩm định các chương trình đào tạo tài năng tại các trường đại học. Đến nay đã có 185 chương trình đào tạo tài năng trong các lĩnh vực STEM được các cơ sở giáo dục đại học đề xuất, trong đó 79 chương trình bước đầu đáp ứng các tiêu chí để xem xét triển khai. Các chương trình này tập trung vào những lĩnh vực then chốt như trí tuệ nhân tạo, bán dẫn, công nghệ số, công nghệ sinh học và kỹ thuật hạ tầng; (5) Đối với nhân lực trực tiếp thực hiện hoạt động nghiên cứu và phát triển, các chính sách ưu đãi về thuế thu nhập cá nhân và các cơ chế hỗ trợ khác theo quy định của pháp luật đã bước đầu được triển khai.</w:t>
      </w:r>
    </w:p>
    <w:p w:rsidR="00000000" w:rsidDel="00000000" w:rsidP="00000000" w:rsidRDefault="00000000" w:rsidRPr="00000000" w14:paraId="00000019">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Về nguồn lực tài chính</w:t>
      </w:r>
    </w:p>
    <w:p w:rsidR="00000000" w:rsidDel="00000000" w:rsidP="00000000" w:rsidRDefault="00000000" w:rsidRPr="00000000" w14:paraId="0000001A">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Nguồn lực tài chính cho khoa học, công nghệ và đổi mới sáng tạo đã được tăng cường đáng kể. Nghị quyết số 57-NQ/TW đưa ra giải pháp bố trí ít nhất 15% ngân sách nhà nước chi sự nghiệp khoa học cho CNCL.</w:t>
      </w:r>
    </w:p>
    <w:p w:rsidR="00000000" w:rsidDel="00000000" w:rsidP="00000000" w:rsidRDefault="00000000" w:rsidRPr="00000000" w14:paraId="0000001B">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Năm 2025, cấp có thẩm quyền đã bổ sung 25.000 tỷ đồng cho lĩnh vực khoa học, công nghệ, đổi mới sáng tạo và chuyển đổi số, trong đó bố trí 2.282 tỷ đồng cho các nhiệm vụ, dự án phục vụ phát triển CNCL. Tỉnh Phú Thọ đã hỗ trợ 10 doanh nghiệp nhỏ và vừa đổi mới công nghệ với kinh phí 4,05 tỷ đồng trong năm 2025.</w:t>
      </w:r>
    </w:p>
    <w:p w:rsidR="00000000" w:rsidDel="00000000" w:rsidP="00000000" w:rsidRDefault="00000000" w:rsidRPr="00000000" w14:paraId="0000001C">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Năm 2026, tổng dự toán cho lĩnh vực này là 95.000 tỷ đồng. Trong số kinh phí đã được phân bổ chi tiết, hiện mới bố trí 1.204 tỷ đồng cho CNCL.</w:t>
      </w:r>
    </w:p>
    <w:p w:rsidR="00000000" w:rsidDel="00000000" w:rsidP="00000000" w:rsidRDefault="00000000" w:rsidRPr="00000000" w14:paraId="0000001D">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Đồng thời, vẫn còn nguồn lực đáng kể chưa được bố trí do thiếu các nhiệm vụ, dự án đủ điều kiện triển khai. Theo tổng hợp, còn khoảng 12.253,4 tỷ đồng từ ngân sách trung ương năm 2026 chưa phân bổ, cùng với 8.279 tỷ đồng nguồn đầu tư năm 2025 đề nghị chuyển sang năm 2026.</w:t>
      </w:r>
    </w:p>
    <w:p w:rsidR="00000000" w:rsidDel="00000000" w:rsidP="00000000" w:rsidRDefault="00000000" w:rsidRPr="00000000" w14:paraId="0000001E">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Về sở hữu trí tuệ</w:t>
      </w:r>
    </w:p>
    <w:p w:rsidR="00000000" w:rsidDel="00000000" w:rsidP="00000000" w:rsidRDefault="00000000" w:rsidRPr="00000000" w14:paraId="0000001F">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Kể từ tháng 6/2025 đến 30/4/2026, tổng số đơn đăng ký sáng chế và giải pháp hữu ích liên quan đến 11 nhóm CNCL của các chủ thể Việt Nam nộp tại Cục Sở hữu trí tuệ đã tăng từ 2.241 đơn lên 2.846 đơn, tăng 605 đơn, tương đương khoảng 27%.</w:t>
      </w:r>
    </w:p>
    <w:p w:rsidR="00000000" w:rsidDel="00000000" w:rsidP="00000000" w:rsidRDefault="00000000" w:rsidRPr="00000000" w14:paraId="00000020">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cùng thời gian, số văn bằng bảo hộ sáng chế và giải pháp hữu ích liên quan đến các CNCL cấp cho các chủ thể Việt Nam đã tăng từ 632 văn bằng lên 865 văn bằng, tăng 233 văn bằng, tương đương khoảng 37% </w:t>
      </w:r>
      <w:r w:rsidDel="00000000" w:rsidR="00000000" w:rsidRPr="00000000">
        <w:rPr>
          <w:rFonts w:ascii="Times New Roman" w:cs="Times New Roman" w:eastAsia="Times New Roman" w:hAnsi="Times New Roman"/>
          <w:i w:val="1"/>
          <w:iCs w:val="1"/>
          <w:sz w:val="28"/>
          <w:szCs w:val="28"/>
          <w:rtl w:val="0"/>
        </w:rPr>
        <w:t xml:space="preserve">(Phụ lục III)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1">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 Về tiêu chuẩn và quy chuẩn kỹ thuật</w:t>
      </w:r>
    </w:p>
    <w:p w:rsidR="00000000" w:rsidDel="00000000" w:rsidP="00000000" w:rsidRDefault="00000000" w:rsidRPr="00000000" w14:paraId="00000022">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Ủy ban Tiêu chuẩn Đo lường Chất lượng Quốc gia đã tiến hành rà soát toàn diện hệ thống tiêu chuẩn liên quan đến 11 nhóm CNCL. Theo kết quả tổng hợp, đến nay đã có 2441 tiêu chuẩn, trong đó 835 tiêu chuẩn Việt Nam (TCVN) và 1607 tiêu chuẩn quốc tế, tiêu chuẩn khu vực, tiêu chuẩn nước ngoài (TCQT, TCKV, TCNN) </w:t>
      </w:r>
      <w:r w:rsidDel="00000000" w:rsidR="00000000" w:rsidRPr="00000000">
        <w:rPr>
          <w:rFonts w:ascii="Times New Roman" w:cs="Times New Roman" w:eastAsia="Times New Roman" w:hAnsi="Times New Roman"/>
          <w:i w:val="1"/>
          <w:iCs w:val="1"/>
          <w:sz w:val="28"/>
          <w:szCs w:val="28"/>
          <w:rtl w:val="0"/>
        </w:rPr>
        <w:t xml:space="preserve">(Phụ lục IV)</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3">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Bộ Y tế đang từng bước xây dựng các tiêu chuẩn, quy chuẩn cho các sản phẩm từ công nghệ mới (như tế bào và sản phẩm từ tế bào, công nghệ in 3D cá thể hóa). Bộ đã ban hành các quy định về thử thuốc trên lâm sàng và hoạt động của Hội đồng đạo đức để kiểm soát chất lượng nghiên cứu y sinh học. Bộ Nông nghiệp và Môi trường đang tập trung hoàn thiện các quy định, định mức kinh tế - kỹ thuật và tiêu chuẩn, quy chuẩn ngành. Đồng thời, Bộ thực hiện rà soát các tiêu chuẩn quốc gia để phù hợp với tiêu chuẩn quốc tế, làm căn cứ thử nghiệm và kiểm nghiệm sản phẩm CNCL. Bộ Giáo dục và Đào tạo đã hoàn thành việc chuẩn hóa chương trình đào tạo cho các ngành mũi nhọn như vi mạch bán dẫn và các ngành STEM nhằm đảm bảo chất lượng nguồn nhân lực theo chuẩn quốc tế. Các địa phương như Quảng Trị, Đồng Tháp đã đề xuất xây dựng quy trình công nghệ và tiêu chuẩn chất lượng nâng cao cho các sản phẩm nông sản chủ lực để tăng sức cạnh tranh.</w:t>
      </w:r>
    </w:p>
    <w:p w:rsidR="00000000" w:rsidDel="00000000" w:rsidP="00000000" w:rsidRDefault="00000000" w:rsidRPr="00000000" w14:paraId="00000024">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Nhìn tổng thể, Việt Nam đã bước đầu hình thành các yếu tố nền tảng cho phát triển CNCL, bao gồm khung thể chế ban đầu, danh mục CNCL và sản phẩm CNCL, một số doanh nghiệp có năng lực công nghệ lõi, xu hướng gia tăng về sở hữu trí tuệ, hệ thống tiêu chuẩn kỹ thuật đang được xây dựng và nguồn lực tài chính đáng kể đã được bố trí. Tuy nhiên, các kết quả này mới ở giai đoạn khởi đầu, các thành phần của hệ sinh thái còn rời rạc, chưa hình thành được mô hình phát triển CNCL thống nhất ở quy mô quốc gia.</w:t>
      </w:r>
    </w:p>
    <w:p w:rsidR="00000000" w:rsidDel="00000000" w:rsidP="00000000" w:rsidRDefault="00000000" w:rsidRPr="00000000" w14:paraId="00000025">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 Một số kết quả cụ thể từ các bộ, ngành, viện trường, doanh nghiệp</w:t>
      </w:r>
    </w:p>
    <w:p w:rsidR="00000000" w:rsidDel="00000000" w:rsidP="00000000" w:rsidRDefault="00000000" w:rsidRPr="00000000" w14:paraId="00000026">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7.1. Các bộ, ngành, địa phương</w:t>
      </w:r>
    </w:p>
    <w:p w:rsidR="00000000" w:rsidDel="00000000" w:rsidP="00000000" w:rsidRDefault="00000000" w:rsidRPr="00000000" w14:paraId="00000027">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(1) Bộ Quốc phòng </w:t>
      </w:r>
      <w:r w:rsidDel="00000000" w:rsidR="00000000" w:rsidRPr="00000000">
        <w:rPr>
          <w:rFonts w:ascii="Times New Roman" w:cs="Times New Roman" w:eastAsia="Times New Roman" w:hAnsi="Times New Roman"/>
          <w:sz w:val="28"/>
          <w:szCs w:val="28"/>
          <w:rtl w:val="0"/>
        </w:rPr>
        <w:t xml:space="preserve">có thuận lợi là đi từ thực tiễn, đã xác định 45 nhóm sản phẩm chiến lược, giao nhiệm vụ cho tập đoàn Viettel, đầu bài do cơ quan chức năng của Bộ phụ trách; tiên phong xét duyệt chức danh Tổng công trình sư; </w:t>
      </w:r>
      <w:r w:rsidDel="00000000" w:rsidR="00000000" w:rsidRPr="00000000">
        <w:rPr>
          <w:rFonts w:ascii="Times New Roman" w:cs="Times New Roman" w:eastAsia="Times New Roman" w:hAnsi="Times New Roman"/>
          <w:i w:val="1"/>
          <w:iCs w:val="1"/>
          <w:sz w:val="28"/>
          <w:szCs w:val="28"/>
          <w:rtl w:val="0"/>
        </w:rPr>
        <w:t xml:space="preserve">(2) Bộ Công an cơ bản làm chủ 3 nhóm CNCL (an ninh mạng; dữ liệu lớn, điện toán đám mây; công nghệ Blockchain); tự chủ nghiên cứu, sản xuất 14 loại sản phẩm CNCL với chất lượng cao hơn tiêu chuẩn, quy chuẩn của Việt Nam</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(3) Bộ Y tế </w:t>
      </w:r>
      <w:r w:rsidDel="00000000" w:rsidR="00000000" w:rsidRPr="00000000">
        <w:rPr>
          <w:rFonts w:ascii="Times New Roman" w:cs="Times New Roman" w:eastAsia="Times New Roman" w:hAnsi="Times New Roman"/>
          <w:sz w:val="28"/>
          <w:szCs w:val="28"/>
          <w:rtl w:val="0"/>
        </w:rPr>
        <w:t xml:space="preserve">đang triển khai cơ chế thử nghiệm có kiểm soát thông qua việc xây dựng và hoàn thiện hành lang pháp  lý cho các thử nghiệm lâm sàng đối với các kỹ thuật và phương pháp y tế mới </w:t>
      </w:r>
      <w:r w:rsidDel="00000000" w:rsidR="00000000" w:rsidRPr="00000000">
        <w:rPr>
          <w:rFonts w:ascii="Times New Roman" w:cs="Times New Roman" w:eastAsia="Times New Roman" w:hAnsi="Times New Roman"/>
          <w:i w:val="1"/>
          <w:iCs w:val="1"/>
          <w:sz w:val="28"/>
          <w:szCs w:val="28"/>
          <w:rtl w:val="0"/>
        </w:rPr>
        <w:t xml:space="preserve">(vắc xin thế hệ mới, liệu pháp gen, tế bào gốc, in 3D cá thể hóa)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(4) Bộ Nông nghiệp và Môi trường </w:t>
      </w:r>
      <w:r w:rsidDel="00000000" w:rsidR="00000000" w:rsidRPr="00000000">
        <w:rPr>
          <w:rFonts w:ascii="Times New Roman" w:cs="Times New Roman" w:eastAsia="Times New Roman" w:hAnsi="Times New Roman"/>
          <w:sz w:val="28"/>
          <w:szCs w:val="28"/>
          <w:rtl w:val="0"/>
        </w:rPr>
        <w:t xml:space="preserve">ứng dụng công nghệ y sinh trong sản xuất vắc xin cho vật nuôi, thí điểm Blockchain trong truy xuất nguồn gốc (sầu riêng), AI trong dự báo khí tượng và phòng chống thiên tai; </w:t>
      </w:r>
      <w:r w:rsidDel="00000000" w:rsidR="00000000" w:rsidRPr="00000000">
        <w:rPr>
          <w:rFonts w:ascii="Times New Roman" w:cs="Times New Roman" w:eastAsia="Times New Roman" w:hAnsi="Times New Roman"/>
          <w:i w:val="1"/>
          <w:iCs w:val="1"/>
          <w:sz w:val="28"/>
          <w:szCs w:val="28"/>
          <w:rtl w:val="0"/>
        </w:rPr>
        <w:t xml:space="preserve">(5) Bộ Công Thương </w:t>
      </w:r>
      <w:r w:rsidDel="00000000" w:rsidR="00000000" w:rsidRPr="00000000">
        <w:rPr>
          <w:rFonts w:ascii="Times New Roman" w:cs="Times New Roman" w:eastAsia="Times New Roman" w:hAnsi="Times New Roman"/>
          <w:sz w:val="28"/>
          <w:szCs w:val="28"/>
          <w:rtl w:val="0"/>
        </w:rPr>
        <w:t xml:space="preserve">đã ban hành kế hoạch, hướng dẫn các tập đoàn, doanh nghiệp triển khai thực hiện nhiệm vụ về CNCL và có kết quả bước đầu</w:t>
      </w:r>
      <w:r w:rsidDel="00000000" w:rsidR="00000000" w:rsidRPr="00000000">
        <w:rPr>
          <w:rFonts w:ascii="Times New Roman" w:cs="Times New Roman" w:eastAsia="Times New Roman" w:hAnsi="Times New Roman"/>
          <w:i w:val="1"/>
          <w:iCs w:val="1"/>
          <w:sz w:val="28"/>
          <w:szCs w:val="28"/>
          <w:rtl w:val="0"/>
        </w:rPr>
        <w:t xml:space="preserve">; (6) Bộ GDĐT </w:t>
      </w:r>
      <w:r w:rsidDel="00000000" w:rsidR="00000000" w:rsidRPr="00000000">
        <w:rPr>
          <w:rFonts w:ascii="Times New Roman" w:cs="Times New Roman" w:eastAsia="Times New Roman" w:hAnsi="Times New Roman"/>
          <w:sz w:val="28"/>
          <w:szCs w:val="28"/>
          <w:rtl w:val="0"/>
        </w:rPr>
        <w:t xml:space="preserve">xây dựng mạng lưới 13 nhóm nhà khoa học, tập trung đào tạo nhân lực cho CNCL.</w:t>
      </w:r>
    </w:p>
    <w:p w:rsidR="00000000" w:rsidDel="00000000" w:rsidP="00000000" w:rsidRDefault="00000000" w:rsidRPr="00000000" w14:paraId="00000028">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bộ, ngành, địa phương đã gửi đặt hàng </w:t>
      </w:r>
      <w:r w:rsidDel="00000000" w:rsidR="00000000" w:rsidRPr="00000000">
        <w:rPr>
          <w:rFonts w:ascii="Times New Roman" w:cs="Times New Roman" w:eastAsia="Times New Roman" w:hAnsi="Times New Roman"/>
          <w:b w:val="1"/>
          <w:bCs w:val="1"/>
          <w:color w:val="ee0000"/>
          <w:sz w:val="28"/>
          <w:szCs w:val="28"/>
          <w:rtl w:val="0"/>
        </w:rPr>
        <w:t xml:space="preserve">37</w:t>
      </w:r>
      <w:r w:rsidDel="00000000" w:rsidR="00000000" w:rsidRPr="00000000">
        <w:rPr>
          <w:rFonts w:ascii="Times New Roman" w:cs="Times New Roman" w:eastAsia="Times New Roman" w:hAnsi="Times New Roman"/>
          <w:sz w:val="28"/>
          <w:szCs w:val="28"/>
          <w:rtl w:val="0"/>
        </w:rPr>
        <w:t xml:space="preserve"> nhiệm vụ CNCL về Bộ KH&amp;CN, với tổng kinh phí dự kiến khoảng </w:t>
      </w:r>
      <w:r w:rsidDel="00000000" w:rsidR="00000000" w:rsidRPr="00000000">
        <w:rPr>
          <w:rFonts w:ascii="Times New Roman" w:cs="Times New Roman" w:eastAsia="Times New Roman" w:hAnsi="Times New Roman"/>
          <w:b w:val="1"/>
          <w:bCs w:val="1"/>
          <w:color w:val="ee0000"/>
          <w:sz w:val="28"/>
          <w:szCs w:val="28"/>
          <w:rtl w:val="0"/>
        </w:rPr>
        <w:t xml:space="preserve">1.436.130</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triệu đồng, trong đó: tập trung chủ yếu vào các công nghệ chiến lược như trí tuệ nhân tạo (AI), IoT, blockchain, bản sao số (Digital Twin), bán dẫn và vi mạch, 5G/6G, UAV và kinh tế tầm thấp, công nghệ sinh học và chọn lọc gen, logistics thông minh, nền tảng số và chuyển đổi số. Các sản phẩm công nghệ chiến lược được ưu tiên gồm nền tảng AI và dữ liệu số, hệ thống truy xuất nguồn gốc thông minh, hạ tầng blockchain dùng chung, chip và nền tảng bảo mật, thiết bị viễn thông 5G, hệ thống quản lý không phận tầm thấp, UAV phục vụ nông nghiệp và đô thị thông minh, cùng các nền tảng số phục vụ quản lý môi trường, y tế, sản xuất công nghiệp và nông nghiệp thông minh </w:t>
      </w:r>
      <w:r w:rsidDel="00000000" w:rsidR="00000000" w:rsidRPr="00000000">
        <w:rPr>
          <w:rFonts w:ascii="Times New Roman" w:cs="Times New Roman" w:eastAsia="Times New Roman" w:hAnsi="Times New Roman"/>
          <w:i w:val="1"/>
          <w:iCs w:val="1"/>
          <w:sz w:val="28"/>
          <w:szCs w:val="28"/>
          <w:rtl w:val="0"/>
        </w:rPr>
        <w:t xml:space="preserve">(Phụ lục V).</w:t>
      </w:r>
      <w:r w:rsidDel="00000000" w:rsidR="00000000" w:rsidRPr="00000000">
        <w:rPr>
          <w:rtl w:val="0"/>
        </w:rPr>
      </w:r>
    </w:p>
    <w:p w:rsidR="00000000" w:rsidDel="00000000" w:rsidP="00000000" w:rsidRDefault="00000000" w:rsidRPr="00000000" w14:paraId="00000029">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7.2. Các viện trường</w:t>
      </w:r>
    </w:p>
    <w:p w:rsidR="00000000" w:rsidDel="00000000" w:rsidP="00000000" w:rsidRDefault="00000000" w:rsidRPr="00000000" w14:paraId="0000002A">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(1) ĐHQG TP. HCM </w:t>
      </w:r>
      <w:r w:rsidDel="00000000" w:rsidR="00000000" w:rsidRPr="00000000">
        <w:rPr>
          <w:rFonts w:ascii="Times New Roman" w:cs="Times New Roman" w:eastAsia="Times New Roman" w:hAnsi="Times New Roman"/>
          <w:sz w:val="28"/>
          <w:szCs w:val="28"/>
          <w:rtl w:val="0"/>
        </w:rPr>
        <w:t xml:space="preserve">đã xây dựng nhóm nghiên cứu mạnh, phối hợp chặt chẽ với Bộ KHCN và TP.HCM, khẳng định không gặp khó khăn, tiếp tục bám sát định hướng chỉ đạo; </w:t>
      </w:r>
      <w:r w:rsidDel="00000000" w:rsidR="00000000" w:rsidRPr="00000000">
        <w:rPr>
          <w:rFonts w:ascii="Times New Roman" w:cs="Times New Roman" w:eastAsia="Times New Roman" w:hAnsi="Times New Roman"/>
          <w:i w:val="1"/>
          <w:iCs w:val="1"/>
          <w:sz w:val="28"/>
          <w:szCs w:val="28"/>
          <w:rtl w:val="0"/>
        </w:rPr>
        <w:t xml:space="preserve">(2) ĐHQG Hà Nội </w:t>
      </w:r>
      <w:r w:rsidDel="00000000" w:rsidR="00000000" w:rsidRPr="00000000">
        <w:rPr>
          <w:rFonts w:ascii="Times New Roman" w:cs="Times New Roman" w:eastAsia="Times New Roman" w:hAnsi="Times New Roman"/>
          <w:sz w:val="28"/>
          <w:szCs w:val="28"/>
          <w:rtl w:val="0"/>
        </w:rPr>
        <w:t xml:space="preserve">đang tập trung vào các lĩnh vực bán dẫn, AI, tự động hóa, chip lượng tử; </w:t>
      </w:r>
      <w:r w:rsidDel="00000000" w:rsidR="00000000" w:rsidRPr="00000000">
        <w:rPr>
          <w:rFonts w:ascii="Times New Roman" w:cs="Times New Roman" w:eastAsia="Times New Roman" w:hAnsi="Times New Roman"/>
          <w:i w:val="1"/>
          <w:iCs w:val="1"/>
          <w:sz w:val="28"/>
          <w:szCs w:val="28"/>
          <w:rtl w:val="0"/>
        </w:rPr>
        <w:t xml:space="preserve">(3) Đại học FPT </w:t>
      </w:r>
      <w:r w:rsidDel="00000000" w:rsidR="00000000" w:rsidRPr="00000000">
        <w:rPr>
          <w:rFonts w:ascii="Times New Roman" w:cs="Times New Roman" w:eastAsia="Times New Roman" w:hAnsi="Times New Roman"/>
          <w:sz w:val="28"/>
          <w:szCs w:val="28"/>
          <w:rtl w:val="0"/>
        </w:rPr>
        <w:t xml:space="preserve">đang đào tạo nhân lực AI, Blockchain, Chip, Cloud, An toàn thông tin; </w:t>
      </w:r>
      <w:r w:rsidDel="00000000" w:rsidR="00000000" w:rsidRPr="00000000">
        <w:rPr>
          <w:rFonts w:ascii="Times New Roman" w:cs="Times New Roman" w:eastAsia="Times New Roman" w:hAnsi="Times New Roman"/>
          <w:i w:val="1"/>
          <w:iCs w:val="1"/>
          <w:sz w:val="28"/>
          <w:szCs w:val="28"/>
          <w:rtl w:val="0"/>
        </w:rPr>
        <w:t xml:space="preserve">(4) Đại học VinUni </w:t>
      </w:r>
      <w:r w:rsidDel="00000000" w:rsidR="00000000" w:rsidRPr="00000000">
        <w:rPr>
          <w:rFonts w:ascii="Times New Roman" w:cs="Times New Roman" w:eastAsia="Times New Roman" w:hAnsi="Times New Roman"/>
          <w:sz w:val="28"/>
          <w:szCs w:val="28"/>
          <w:rtl w:val="0"/>
        </w:rPr>
        <w:t xml:space="preserve">đã thành công trong thử nghiệm tế bào gốc và CAR-T điều trị ung thư máu.</w:t>
      </w:r>
    </w:p>
    <w:p w:rsidR="00000000" w:rsidDel="00000000" w:rsidP="00000000" w:rsidRDefault="00000000" w:rsidRPr="00000000" w14:paraId="0000002B">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7.3. Doanh nghiệp</w:t>
      </w:r>
    </w:p>
    <w:p w:rsidR="00000000" w:rsidDel="00000000" w:rsidP="00000000" w:rsidRDefault="00000000" w:rsidRPr="00000000" w14:paraId="0000002C">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thời gian qua, một số doanh nghiệp trong nước đã bước đầu làm chủ các công nghệ lõi quan trọng và phát triển các sản phẩm CNCL, từng bước khẳng định năng lực tự chủ công nghệ và hình thành nền tảng cho phát triển các ngành công nghiệp công nghệ cao trong nước.</w:t>
      </w:r>
    </w:p>
    <w:p w:rsidR="00000000" w:rsidDel="00000000" w:rsidP="00000000" w:rsidRDefault="00000000" w:rsidRPr="00000000" w14:paraId="0000002D">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công nghệ lượng tử, các doanh nghiệp và tổ chức nghiên cứu trong nước đã bước đầu triển khai nghiên cứu và phát triển một số công nghệ nền tảng quan trọng. Tập đoàn Viettel đã nghiên cứu và phát triển thiết bị sinh số ngẫu nhiên lượng tử (Quantum Random Number Generator – QRNG) phục vụ các ứng dụng bảo mật thông tin, đồng thời triển khai nghiên cứu máy tính lượng tử quy mô 20 qubit và xây dựng môi trường lập trình thiết kế mạch lượng tử, tạo nền tảng ban đầu cho việc tiếp cận và từng bước làm chủ các công nghệ tính toán tiên tiến trong tương lai.</w:t>
      </w:r>
    </w:p>
    <w:p w:rsidR="00000000" w:rsidDel="00000000" w:rsidP="00000000" w:rsidRDefault="00000000" w:rsidRPr="00000000" w14:paraId="0000002E">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AI Camera và giám sát thông minh, nhóm doanh nghiệp trong nước gồm MK, Hanet, BKAV, CMC và VNPT đã từng bước làm chủ khoảng 65% công nghệ lõi, với tỷ lệ nội địa hóa đạt trên 50%, góp phần thúc đẩy phát triển các hệ thống giám sát thông minh phục vụ đô thị thông minh, an ninh và quản lý xã hội.</w:t>
      </w:r>
    </w:p>
    <w:p w:rsidR="00000000" w:rsidDel="00000000" w:rsidP="00000000" w:rsidRDefault="00000000" w:rsidRPr="00000000" w14:paraId="0000002F">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viễn thông và công nghệ quốc phòng, Tập đoàn Viettel đã làm chủ công nghệ tên lửa hành trình, đồng thời làm chủ khoảng 85% công nghệ lõi của mạng 5G, sẵn sàng cho triển khai thương mại hóa trên diện rộng. Đây là nền tảng quan trọng góp phần bảo đảm chủ quyền công nghệ quốc gia trong lĩnh vực hạ tầng số và an ninh thông tin.</w:t>
      </w:r>
    </w:p>
    <w:p w:rsidR="00000000" w:rsidDel="00000000" w:rsidP="00000000" w:rsidRDefault="00000000" w:rsidRPr="00000000" w14:paraId="00000030">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robot và tự động hóa thông minh, các doanh nghiệp trong nước đã nghiên cứu, phát triển và triển khai các hệ thống robot tự hành phục vụ logistics và sản xuất công nghiệp. Tập đoàn Viettel đã phát triển hệ thống robot tự hành phân loại hàng hóa (AGV Sorting Robot) và triển khai vận hành thực tế tại các trung tâm logistics quy mô lớn, với hơn 220 robot đã được đưa vào sử dụng. Các hệ thống robot này góp phần nâng cao năng suất xử lý hàng hóa, giảm chi phí vận hành và thúc đẩy quá trình chuyển đổi sang mô hình logistics thông minh và sản xuất tự động hóa trong nước.</w:t>
      </w:r>
    </w:p>
    <w:p w:rsidR="00000000" w:rsidDel="00000000" w:rsidP="00000000" w:rsidRDefault="00000000" w:rsidRPr="00000000" w14:paraId="00000031">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thiết bị bay không người lái (UAV), nhóm doanh nghiệp gồm Realtime Robotics, Viettel và CT Group đã làm chủ trên 70% công nghệ lõi, đồng thời đầu tư xây dựng các tổ hợp nhà máy sản xuất tại Việt Nam và bước đầu xuất khẩu sản phẩm sang thị trường Hoa Kỳ. Kết quả này cho thấy khả năng tham gia sâu hơn vào chuỗi giá trị toàn cầu và mở rộng thị trường quốc tế đối với các sản phẩm CNCL do Việt Nam phát triển.</w:t>
      </w:r>
    </w:p>
    <w:p w:rsidR="00000000" w:rsidDel="00000000" w:rsidP="00000000" w:rsidRDefault="00000000" w:rsidRPr="00000000" w14:paraId="00000032">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trí tuệ nhân tạo, các doanh nghiệp công nghệ số lớn như Zalo, FPT, Viettel, VNPT và CMC đã phát triển nhiều mô hình ngôn ngữ lớn tiếng Việt dựa trên các nền tảng mô hình mở, từng bước hình thành năng lực làm chủ công nghệ lõi về xử lý ngôn ngữ tự nhiên, phục vụ các ứng dụng trong quản trị nhà nước, dịch vụ công và kinh tế số.</w:t>
      </w:r>
    </w:p>
    <w:p w:rsidR="00000000" w:rsidDel="00000000" w:rsidP="00000000" w:rsidRDefault="00000000" w:rsidRPr="00000000" w14:paraId="00000033">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điện toán đám mây và trung tâm dữ liệu, các doanh nghiệp trong nước đã từng bước làm chủ và phát triển các nền tảng hạ tầng số quan trọng phục vụ chuyển đổi số quốc gia. Tập đoàn Viettel đã phát triển và thương mại hóa nền tảng Viettel Cloud từ năm 2018, cung cấp hạ tầng tính toán và lưu trữ phục vụ các ứng dụng trí tuệ nhân tạo và dữ liệu lớn. Đồng thời, Viettel đã xây dựng và vận hành 14 trung tâm dữ liệu đạt tiêu chuẩn quốc tế Tier III, đáp ứng yêu cầu về an toàn, bảo mật và tính sẵn sàng cao của hệ thống thông tin quốc gia. Bên cạnh đó, các sản phẩm thiết bị mạng phục vụ trung tâm dữ liệu như switch trung tâm dữ liệu hiệu năng cao (DC Switch) đang được nghiên cứu và hoàn thiện, từng bước hướng tới làm chủ công nghệ lõi trong lĩnh vực hạ tầng số.</w:t>
      </w:r>
    </w:p>
    <w:p w:rsidR="00000000" w:rsidDel="00000000" w:rsidP="00000000" w:rsidRDefault="00000000" w:rsidRPr="00000000" w14:paraId="00000034">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Những kết quả bước đầu của cộng đồng doanh nghiệp cho thấy khu vực doanh nghiệp trong nước đang từng bước khẳng định vai trò trung tâm của hệ sinh thái CNCL, góp phần rút ngắn khoảng cách công nghệ với các quốc gia tiên tiến, đồng thời tạo nền tảng quan trọng để triển khai các chương trình phát triển CNCL theo hướng thực chất, có sản phẩm cụ thể và có khả năng thương mại hóa.</w:t>
      </w:r>
    </w:p>
    <w:p w:rsidR="00000000" w:rsidDel="00000000" w:rsidP="00000000" w:rsidRDefault="00000000" w:rsidRPr="00000000" w14:paraId="00000035">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ĐÁNH GIÁ CHUNG</w:t>
      </w:r>
    </w:p>
    <w:p w:rsidR="00000000" w:rsidDel="00000000" w:rsidP="00000000" w:rsidRDefault="00000000" w:rsidRPr="00000000" w14:paraId="00000036">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Thành tựu đạt được</w:t>
      </w:r>
    </w:p>
    <w:p w:rsidR="00000000" w:rsidDel="00000000" w:rsidP="00000000" w:rsidRDefault="00000000" w:rsidRPr="00000000" w14:paraId="00000037">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Việc triển khai CNCL đã được thực hiện một cách quyết liệt và đồng bộ trên phạm vi cả nước, bước đầu hình thành khung khổ pháp lý và định hướng phát triển CNCL tương đối rõ nét. Các bộ, ngành và địa phương đã chủ động ban hành kế hoạch hành động, xây dựng lộ trình đổi mới công nghệ đến năm 2030 và 2035, đồng thời từng bước cụ thể hóa danh mục CNCL thành các chương trình, nhiệm vụ và dự án trọng điểm.</w:t>
      </w:r>
    </w:p>
    <w:p w:rsidR="00000000" w:rsidDel="00000000" w:rsidP="00000000" w:rsidRDefault="00000000" w:rsidRPr="00000000" w14:paraId="00000038">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Một số đơn vị đã chủ động xác định các bài toán lớn gắn với nhu cầu thực tiễn sản xuất và thị trường, tiêu biểu như phát triển hệ thống trợ lý ảo chuyên ngành, xây dựng bản đồ số vùng nguyên liệu và triển khai hệ thống truy xuất nguồn gốc nông sản dựa trên công nghệ chuỗi khối (Blockchain). Những hoạt động này góp phần thúc đẩy quá trình chuyển đổi số, nâng cao năng lực quản lý và hiệu quả sản xuất trong nhiều lĩnh vực kinh tế - xã hội.</w:t>
      </w:r>
    </w:p>
    <w:p w:rsidR="00000000" w:rsidDel="00000000" w:rsidP="00000000" w:rsidRDefault="00000000" w:rsidRPr="00000000" w14:paraId="00000039">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Về năng lực làm chủ công nghệ, hệ thống giáo dục đại học và các viện nghiên cứu đã bước đầu hình thành một số trung tâm nghiên cứu hạt nhân trong các lĩnh vực trọng điểm như trí tuệ nhân tạo (AI), bán dẫn và năng lượng mới. Tỷ lệ nội địa hóa trong một số sản phẩm CNCL bước đầu đạt kết quả tích cực; trong đó, lĩnh vực công nghiệp chế tạo đạt khoảng 50% đối với robot công nghiệp và gần 80% đối với các hệ thống thị giác máy và trí tuệ nhân tạo.</w:t>
      </w:r>
    </w:p>
    <w:p w:rsidR="00000000" w:rsidDel="00000000" w:rsidP="00000000" w:rsidRDefault="00000000" w:rsidRPr="00000000" w14:paraId="0000003A">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Trong lĩnh vực y tế, Việt Nam đã triển khai thành công các thử nghiệm lâm sàng giai đoạn đầu đối với liệu pháp tế bào miễn dịch (CAR-T) và từng bước tiếp nhận chuyển giao công nghệ sản xuất vắc xin mRNA. Song song với đó, công tác xây dựng và phát triển cơ sở dữ liệu số dùng chung đã đạt được những kết quả khả quan, tạo nền tảng quan trọng cho việc ứng dụng trí tuệ nhân tạo và phân tích dữ liệu lớn trong quản lý và điều hành.</w:t>
      </w:r>
    </w:p>
    <w:p w:rsidR="00000000" w:rsidDel="00000000" w:rsidP="00000000" w:rsidRDefault="00000000" w:rsidRPr="00000000" w14:paraId="0000003B">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Những tồn tại và khó khăn</w:t>
      </w:r>
    </w:p>
    <w:p w:rsidR="00000000" w:rsidDel="00000000" w:rsidP="00000000" w:rsidRDefault="00000000" w:rsidRPr="00000000" w14:paraId="0000003C">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Mặc dù đã đạt được một số kết quả bước đầu, quá trình triển khai vẫn đối mặt với nhiều khó khăn và rào cản mang tính hệ thống, cụ thể như sau:</w:t>
      </w:r>
    </w:p>
    <w:p w:rsidR="00000000" w:rsidDel="00000000" w:rsidP="00000000" w:rsidRDefault="00000000" w:rsidRPr="00000000" w14:paraId="0000003D">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i w:val="1"/>
          <w:iCs w:val="1"/>
          <w:sz w:val="28"/>
          <w:szCs w:val="28"/>
          <w:rtl w:val="0"/>
        </w:rPr>
        <w:t xml:space="preserve">Về hành lang pháp lý và tiêu chí hướng dẫn:</w:t>
      </w:r>
      <w:r w:rsidDel="00000000" w:rsidR="00000000" w:rsidRPr="00000000">
        <w:rPr>
          <w:rFonts w:ascii="Times New Roman" w:cs="Times New Roman" w:eastAsia="Times New Roman" w:hAnsi="Times New Roman"/>
          <w:sz w:val="28"/>
          <w:szCs w:val="28"/>
          <w:rtl w:val="0"/>
        </w:rPr>
        <w:t xml:space="preserve"> Mặc dù đã xây dựng nhiều văn bản quy phạm pháp luật tạo hành lang pháp lý để phát triển công nghệ chiến lược. Tuy nhiên, các văn bản chưa đủ mạnh và thể hiện rõ được cơ chế, tài chính và quản lý đặc thù cho phát triển công nghệ chiến lược. </w:t>
      </w:r>
    </w:p>
    <w:p w:rsidR="00000000" w:rsidDel="00000000" w:rsidP="00000000" w:rsidRDefault="00000000" w:rsidRPr="00000000" w14:paraId="0000003E">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i w:val="1"/>
          <w:iCs w:val="1"/>
          <w:sz w:val="28"/>
          <w:szCs w:val="28"/>
          <w:rtl w:val="0"/>
        </w:rPr>
        <w:t xml:space="preserve">Về cơ chế tài chính và đầu tư:</w:t>
      </w:r>
      <w:r w:rsidDel="00000000" w:rsidR="00000000" w:rsidRPr="00000000">
        <w:rPr>
          <w:rFonts w:ascii="Times New Roman" w:cs="Times New Roman" w:eastAsia="Times New Roman" w:hAnsi="Times New Roman"/>
          <w:sz w:val="28"/>
          <w:szCs w:val="28"/>
          <w:rtl w:val="0"/>
        </w:rPr>
        <w:t xml:space="preserve"> Nguồn kinh phí ngân sách nhà nước dành cho phát triển CNCL còn hạn chế và phân tán, chưa hình thành được các chương trình đầu tư quy mô lớn, có tính dài hạn và ổn định. Cơ chế lập dự toán, phân bổ và thanh quyết toán kinh phí vẫn chủ yếu áp dụng theo phương thức truyền thống, chưa phù hợp với đặc thù của hoạt động nghiên cứu CNCL vốn có mức độ rủi ro cao và chu kỳ đầu tư dài. Ngoài ra, việc thiếu hướng dẫn cụ thể về định giá tài sản trí tuệ và triển khai cơ chế thử nghiệm có kiểm soát (sandbox) đã phần nào hạn chế khả năng thương mại hóa các sản phẩm công nghệ mới.</w:t>
      </w:r>
    </w:p>
    <w:p w:rsidR="00000000" w:rsidDel="00000000" w:rsidP="00000000" w:rsidRDefault="00000000" w:rsidRPr="00000000" w14:paraId="0000003F">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i w:val="1"/>
          <w:iCs w:val="1"/>
          <w:sz w:val="28"/>
          <w:szCs w:val="28"/>
          <w:rtl w:val="0"/>
        </w:rPr>
        <w:t xml:space="preserve">Về nguồn nhân lực và hạ tầng nghiên cứu:</w:t>
      </w:r>
      <w:r w:rsidDel="00000000" w:rsidR="00000000" w:rsidRPr="00000000">
        <w:rPr>
          <w:rFonts w:ascii="Times New Roman" w:cs="Times New Roman" w:eastAsia="Times New Roman" w:hAnsi="Times New Roman"/>
          <w:sz w:val="28"/>
          <w:szCs w:val="28"/>
          <w:rtl w:val="0"/>
        </w:rPr>
        <w:t xml:space="preserve"> Tình trạng thiếu hụt nguồn nhân lực chất lượng cao, đặc biệt là các chuyên gia đầu ngành và tổng công trình sư trong các lĩnh vực then chốt như thiết kế vi mạch bán dẫn, trí tuệ nhân tạo và công nghệ sinh học, vẫn còn phổ biến. Hạ tầng nghiên cứu – phát triển hiện còn phân tán, thiếu các phòng thí nghiệm trọng điểm dùng chung quy mô quốc gia có đủ năng lực kiểm định và thử nghiệm theo tiêu chuẩn quốc tế.</w:t>
      </w:r>
    </w:p>
    <w:p w:rsidR="00000000" w:rsidDel="00000000" w:rsidP="00000000" w:rsidRDefault="00000000" w:rsidRPr="00000000" w14:paraId="00000040">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i w:val="1"/>
          <w:iCs w:val="1"/>
          <w:sz w:val="28"/>
          <w:szCs w:val="28"/>
          <w:rtl w:val="0"/>
        </w:rPr>
        <w:t xml:space="preserve">Về năng lực doanh nghiệp: </w:t>
      </w:r>
      <w:r w:rsidDel="00000000" w:rsidR="00000000" w:rsidRPr="00000000">
        <w:rPr>
          <w:rFonts w:ascii="Times New Roman" w:cs="Times New Roman" w:eastAsia="Times New Roman" w:hAnsi="Times New Roman"/>
          <w:sz w:val="28"/>
          <w:szCs w:val="28"/>
          <w:rtl w:val="0"/>
        </w:rPr>
        <w:t xml:space="preserve">Phần lớn doanh nghiệp tại các địa phương là doanh nghiệp nhỏ và vừa, năng lực hấp thụ công nghệ và nguồn lực đầu tư cho nghiên cứu – phát triển còn hạn chế. Điều này dẫn đến khó khăn trong việc tham gia sâu vào chuỗi giá trị công nghệ cao cũng như làm chủ các tầng công nghệ lõi có giá trị gia tăng lớn.</w:t>
      </w:r>
    </w:p>
    <w:p w:rsidR="00000000" w:rsidDel="00000000" w:rsidP="00000000" w:rsidRDefault="00000000" w:rsidRPr="00000000" w14:paraId="00000041">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KINH NGHIỆM QUỐC TẾ</w:t>
      </w:r>
    </w:p>
    <w:p w:rsidR="00000000" w:rsidDel="00000000" w:rsidP="00000000" w:rsidRDefault="00000000" w:rsidRPr="00000000" w14:paraId="00000042">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CNCL ngày nay không chỉ là nghiên cứu khoa học mà đã trở thành công cụ</w:t>
        <w:br w:type="textWrapping"/>
        <w:t xml:space="preserve">cạnh tranh địa kinh tế, an ninh và tự chủ quốc gia. Các nước lớn chuyển từ hỗ trợ dự</w:t>
        <w:br w:type="textWrapping"/>
        <w:t xml:space="preserve">án nhỏ lẻ sang triển khai chương trình công nghệ quy mô quốc gia, gắn kết nghiên</w:t>
        <w:br w:type="textWrapping"/>
        <w:t xml:space="preserve">cứu - sản xuất - thương mại hóa. Cạnh tranh quốc tế cũng dịch chuyển từ sản phẩm</w:t>
        <w:br w:type="textWrapping"/>
        <w:t xml:space="preserve">sang hệ sinh thái công nghệ toàn diện. Xu thế này cho thấy Việt Nam cần lựa chọn</w:t>
        <w:br w:type="textWrapping"/>
        <w:t xml:space="preserve">trọng tâm công nghệ phù hợp với lợi thế và nguồn lực để phát triển nhanh, bền vững.</w:t>
      </w:r>
    </w:p>
    <w:p w:rsidR="00000000" w:rsidDel="00000000" w:rsidP="00000000" w:rsidRDefault="00000000" w:rsidRPr="00000000" w14:paraId="00000043">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Một số kinh nghiệm của các quốc gia tiên tiến:</w:t>
      </w:r>
    </w:p>
    <w:p w:rsidR="00000000" w:rsidDel="00000000" w:rsidP="00000000" w:rsidRDefault="00000000" w:rsidRPr="00000000" w14:paraId="00000044">
      <w:pPr>
        <w:spacing w:after="0" w:before="120"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1. Hoa Kỳ triển khai CNCL gắn chặt với mục tiêu an ninh quốc gia, duy trì</w:t>
        <w:br w:type="textWrapping"/>
        <w:t xml:space="preserve">vị thế dẫn dắt toàn cầu và phát triển thị trường công nghệ lớn. Từ năm 2020, nước</w:t>
        <w:br w:type="textWrapping"/>
        <w:t xml:space="preserve">này ban hành Chiến lược quốc gia về công nghệ trọng yếu và mới nổi, ưu tiên các</w:t>
        <w:br w:type="textWrapping"/>
        <w:t xml:space="preserve">lĩnh vực như AI, sinh học, lượng tử, vi điện tử và sản xuất tiên tiến. Nhà nước tập</w:t>
        <w:br w:type="textWrapping"/>
        <w:t xml:space="preserve">trung đầu tư nghiên cứu nền tảng, hạ tầng và công nghệ rủi ro cao, trong khi doanh</w:t>
        <w:br w:type="textWrapping"/>
        <w:t xml:space="preserve">nghiệp giữ vai trò chủ lực trong sản xuất và thương mại hóa. </w:t>
      </w:r>
      <w:r w:rsidDel="00000000" w:rsidR="00000000" w:rsidRPr="00000000">
        <w:rPr>
          <w:rFonts w:ascii="Times New Roman" w:cs="Times New Roman" w:eastAsia="Times New Roman" w:hAnsi="Times New Roman"/>
          <w:i w:val="1"/>
          <w:iCs w:val="1"/>
          <w:sz w:val="28"/>
          <w:szCs w:val="28"/>
          <w:rtl w:val="0"/>
        </w:rPr>
        <w:t xml:space="preserve">Bài học rút ra là cần</w:t>
        <w:br w:type="textWrapping"/>
        <w:t xml:space="preserve">đầu tư công đủ mạnh, đủ sớm, chấp nhận rủi ro ban đầu nhưng hướng tới hình thành thị trường và năng lực công nghiệp trong nước. </w:t>
      </w:r>
    </w:p>
    <w:p w:rsidR="00000000" w:rsidDel="00000000" w:rsidP="00000000" w:rsidRDefault="00000000" w:rsidRPr="00000000" w14:paraId="00000045">
      <w:pPr>
        <w:spacing w:after="0" w:before="120"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 Trung Quốc triển khai công nghệ chiến lược trong chương trình Made in</w:t>
        <w:br w:type="textWrapping"/>
        <w:t xml:space="preserve">China 2025 nhằm chuyển đổi từ “công xưởng thế giới” sang cường quốc công nghiệp</w:t>
        <w:br w:type="textWrapping"/>
        <w:t xml:space="preserve">công nghệ cao, với mục tiêu đến tự chủ trong các thành phần cơ bản cốt lõi và vật</w:t>
        <w:br w:type="textWrapping"/>
        <w:t xml:space="preserve">liệu cơ bản quan trọng, và trở thành nước dẫn đầu trong số các cường quốc sản xuất</w:t>
        <w:br w:type="textWrapping"/>
        <w:t xml:space="preserve">của thế giới vào năm 2049 (kỷ niệm 100 năm thành lập nước CHND Trung Hoa).</w:t>
        <w:br w:type="textWrapping"/>
        <w:t xml:space="preserve">Mô hình 3 nhà với sự tham gia dẫn dắt trực tiếp của Quốc vụ viện, các tập đoàn</w:t>
        <w:br w:type="textWrapping"/>
        <w:t xml:space="preserve">mạnh (nhà nước và tư nhân), và các trường/viện hàng đầu là động lực chính trong</w:t>
        <w:br w:type="textWrapping"/>
        <w:t xml:space="preserve">triển khai công nghệ chiến lược. </w:t>
      </w:r>
      <w:r w:rsidDel="00000000" w:rsidR="00000000" w:rsidRPr="00000000">
        <w:rPr>
          <w:rFonts w:ascii="Times New Roman" w:cs="Times New Roman" w:eastAsia="Times New Roman" w:hAnsi="Times New Roman"/>
          <w:i w:val="1"/>
          <w:iCs w:val="1"/>
          <w:sz w:val="28"/>
          <w:szCs w:val="28"/>
          <w:rtl w:val="0"/>
        </w:rPr>
        <w:t xml:space="preserve">Bài học rút ra là phát triển công nghệ chiến lược</w:t>
        <w:br w:type="textWrapping"/>
        <w:t xml:space="preserve">phải gắn chặt với công nghiệp, với sản xuất, góp phần gia tăng hàm lược nội địa</w:t>
        <w:br w:type="textWrapping"/>
        <w:t xml:space="preserve">hoá và năng lực tự chủ công nghệ, thông qua một gói chính sách toàn diện bao gồm:</w:t>
        <w:br w:type="textWrapping"/>
        <w:t xml:space="preserve">quỹ đầu tư công – tư, chính sách thuế và tài trợ, phát triển hệ thống khu công nghệ</w:t>
        <w:br w:type="textWrapping"/>
        <w:t xml:space="preserve">cao và vươn ươm ĐMST, cũng như xây dựng hệ thống tiêu chuẩn, quy chuẩn với</w:t>
        <w:br w:type="textWrapping"/>
        <w:t xml:space="preserve">tầm nhìn toàn cầu cho sản phẩm công nghệ Trung Quốc.</w:t>
      </w:r>
    </w:p>
    <w:p w:rsidR="00000000" w:rsidDel="00000000" w:rsidP="00000000" w:rsidRDefault="00000000" w:rsidRPr="00000000" w14:paraId="00000046">
      <w:pPr>
        <w:spacing w:after="0" w:before="120"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3. Liên minh châu Âu (EU) triển khai CNCL nhằm giảm phụ thuộc bên</w:t>
        <w:br w:type="textWrapping"/>
        <w:t xml:space="preserve">ngoài, củng cố tự chủ và bảo vệ thị trường chung. Khung chính sách đồng bộ gồm</w:t>
        <w:br w:type="textWrapping"/>
        <w:t xml:space="preserve">Chiến lược an ninh kinh tế, Đạo luật chip, Đạo luật công nghiệp phát thải ròng bằng</w:t>
        <w:br w:type="textWrapping"/>
        <w:t xml:space="preserve">không và Nền tảng CNCL. EU kết hợp công cụ pháp lý, tài chính và điều phối để</w:t>
        <w:br w:type="textWrapping"/>
        <w:t xml:space="preserve">phát triển, sản xuất công nghệ then chốt trong nội khối. </w:t>
      </w:r>
      <w:r w:rsidDel="00000000" w:rsidR="00000000" w:rsidRPr="00000000">
        <w:rPr>
          <w:rFonts w:ascii="Times New Roman" w:cs="Times New Roman" w:eastAsia="Times New Roman" w:hAnsi="Times New Roman"/>
          <w:i w:val="1"/>
          <w:iCs w:val="1"/>
          <w:sz w:val="28"/>
          <w:szCs w:val="28"/>
          <w:rtl w:val="0"/>
        </w:rPr>
        <w:t xml:space="preserve">Bài học rút ra là cần tổ chức</w:t>
        <w:br w:type="textWrapping"/>
        <w:t xml:space="preserve">phát triển công nghệ theo chuỗi giá trị - chuỗi cung ứng, gắn với chính sách công</w:t>
        <w:br w:type="textWrapping"/>
        <w:t xml:space="preserve">nghiệp, thị trường và tiêu chuẩn.</w:t>
      </w:r>
    </w:p>
    <w:p w:rsidR="00000000" w:rsidDel="00000000" w:rsidP="00000000" w:rsidRDefault="00000000" w:rsidRPr="00000000" w14:paraId="00000047">
      <w:pPr>
        <w:spacing w:after="0" w:before="120"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 Nhật Bản triển khai CNCL gắn với an ninh kinh tế, chính sách công nghiệp</w:t>
        <w:br w:type="textWrapping"/>
        <w:t xml:space="preserve">và điều phối liên bộ ở cấp trung ương. Chiến lược an ninh quốc gia 2022 cùng các</w:t>
        <w:br w:type="textWrapping"/>
        <w:t xml:space="preserve">chính sách liên quan tạo nền tảng để thúc đẩy nghiên cứu, bảo vệ công nghệ quan</w:t>
        <w:br w:type="textWrapping"/>
        <w:t xml:space="preserve">trọng và củng cố chuỗi cung ứng. Văn phòng Nội các giữ vai trò điều phối các</w:t>
        <w:br w:type="textWrapping"/>
        <w:t xml:space="preserve">chương trình liên bộ, đưa công nghệ từ nghiên cứu đến ứng dụng, đồng thời duy trì</w:t>
        <w:br w:type="textWrapping"/>
        <w:t xml:space="preserve">các chương trình dài hạn phục hồi năng lực sản xuất, đặc biệt trong lĩnh vực bán dẫn.</w:t>
        <w:br w:type="textWrapping"/>
      </w:r>
      <w:r w:rsidDel="00000000" w:rsidR="00000000" w:rsidRPr="00000000">
        <w:rPr>
          <w:rFonts w:ascii="Times New Roman" w:cs="Times New Roman" w:eastAsia="Times New Roman" w:hAnsi="Times New Roman"/>
          <w:i w:val="1"/>
          <w:iCs w:val="1"/>
          <w:sz w:val="28"/>
          <w:szCs w:val="28"/>
          <w:rtl w:val="0"/>
        </w:rPr>
        <w:t xml:space="preserve">Bài học rút ra là cần có một đầu mối quốc gia đủ mạnh để điều phối liên ngành và</w:t>
        <w:br w:type="textWrapping"/>
        <w:t xml:space="preserve">duy trì các chương trình xuyên suốt từ nghiên cứu đến triển khai công nghiệp.</w:t>
      </w:r>
    </w:p>
    <w:p w:rsidR="00000000" w:rsidDel="00000000" w:rsidP="00000000" w:rsidRDefault="00000000" w:rsidRPr="00000000" w14:paraId="00000048">
      <w:pPr>
        <w:spacing w:after="0" w:before="120"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5. Hàn Quốc phát triển CNCL với danh mục rõ ràng, luật riêng và kế hoạch</w:t>
        <w:br w:type="textWrapping"/>
        <w:t xml:space="preserve">trung hạn, tập trung đầu tư vào 12 lĩnh vực với 50 công nghệ then chốt. Kế hoạch</w:t>
        <w:br w:type="textWrapping"/>
        <w:t xml:space="preserve">vừa giữ vị thế dẫn đầu ở các ngành thế mạnh như bán dẫn, màn hình, pin, vừa tạo</w:t>
        <w:br w:type="textWrapping"/>
        <w:t xml:space="preserve">đột phá ở các lĩnh vực mới như AI, sinh học và lượng tử. Nổi bật là cách phân nhóm</w:t>
        <w:br w:type="textWrapping"/>
        <w:t xml:space="preserve">công nghệ để áp dụng chính sách phù hợp, lộ trình theo nhiệm vụ, ưu đãi thuế, hỗ</w:t>
        <w:br w:type="textWrapping"/>
        <w:t xml:space="preserve">trợ tài chính và phát triển hệ sinh thái khởi nghiệp công nghệ sâu. </w:t>
      </w:r>
      <w:r w:rsidDel="00000000" w:rsidR="00000000" w:rsidRPr="00000000">
        <w:rPr>
          <w:rFonts w:ascii="Times New Roman" w:cs="Times New Roman" w:eastAsia="Times New Roman" w:hAnsi="Times New Roman"/>
          <w:i w:val="1"/>
          <w:iCs w:val="1"/>
          <w:sz w:val="28"/>
          <w:szCs w:val="28"/>
          <w:rtl w:val="0"/>
        </w:rPr>
        <w:t xml:space="preserve">Bài học rút ra là</w:t>
        <w:br w:type="textWrapping"/>
        <w:t xml:space="preserve">cần luật hóa chính sách, xác định đúng ưu tiên, đầu tư đủ lớn, quản trị theo kết quả</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và đặt doanh nghiệp ở trung tâm hệ sinh thái.</w:t>
      </w:r>
    </w:p>
    <w:p w:rsidR="00000000" w:rsidDel="00000000" w:rsidP="00000000" w:rsidRDefault="00000000" w:rsidRPr="00000000" w14:paraId="00000049">
      <w:pPr>
        <w:spacing w:after="0" w:before="120"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6. Một số quốc gia, vùng lãnh thổ khác: Singapore tập trung lựa chọn số ít</w:t>
        <w:br w:type="textWrapping"/>
        <w:t xml:space="preserve">lĩnh vực công nghệ chiến lược, gắn với năng lực điều phối quốc gia, hạ tầng số, nhân</w:t>
        <w:br w:type="textWrapping"/>
        <w:t xml:space="preserve">lực chất lượng cao và thu hút doanh nghiệp toàn cầu. Cách tiếp cận này cho thấy cần</w:t>
        <w:br w:type="textWrapping"/>
        <w:t xml:space="preserve">đầu tư đủ sâu, gắn kết giữa chiến lược quốc gia, nghiên cứu ứng dụng, thương mại</w:t>
        <w:br w:type="textWrapping"/>
        <w:t xml:space="preserve">hóa và phát triển nhân lực. Đài Loan nổi bật với chính sách công nghiệp nhất quán,</w:t>
        <w:br w:type="textWrapping"/>
        <w:t xml:space="preserve">tận dụng lợi thế ngành bán dẫn để xây dựng năng lực cạnh tranh bền vững. </w:t>
      </w:r>
      <w:r w:rsidDel="00000000" w:rsidR="00000000" w:rsidRPr="00000000">
        <w:rPr>
          <w:rFonts w:ascii="Times New Roman" w:cs="Times New Roman" w:eastAsia="Times New Roman" w:hAnsi="Times New Roman"/>
          <w:i w:val="1"/>
          <w:iCs w:val="1"/>
          <w:sz w:val="28"/>
          <w:szCs w:val="28"/>
          <w:rtl w:val="0"/>
        </w:rPr>
        <w:t xml:space="preserve">Bài học</w:t>
        <w:br w:type="textWrapping"/>
        <w:t xml:space="preserve">rút ra là với những lĩnh vực có lợi thế nổi trội, cần chính sách tập trung, ổn định và</w:t>
        <w:br w:type="textWrapping"/>
        <w:t xml:space="preserve">dài hạn để vừa củng cố vị thế, vừa mở rộng sang các công nghệ liên quan.</w:t>
      </w:r>
    </w:p>
    <w:p w:rsidR="00000000" w:rsidDel="00000000" w:rsidP="00000000" w:rsidRDefault="00000000" w:rsidRPr="00000000" w14:paraId="0000004A">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học kinh nghiệm đối với Việt Nam: Từ kinh nghiệm của các quốc gia</w:t>
        <w:br w:type="textWrapping"/>
        <w:t xml:space="preserve">tiên tiến, một số bài học kinh nghiệm đối với Việt Nam như: (1) Lựa chọn CNCL</w:t>
        <w:br w:type="textWrapping"/>
        <w:t xml:space="preserve">phải gắn với các bài toán lớn của quốc gia và ngành, tránh chạy theo phong trào như</w:t>
        <w:br w:type="textWrapping"/>
        <w:t xml:space="preserve">cách triển khai các chương trình khoa học - công nghệ cấp Quốc gia lâu nay; (2) Cần</w:t>
        <w:br w:type="textWrapping"/>
        <w:t xml:space="preserve">chuyển từ nghiên cứu nhỏ lẻ sang các chương trình công nghệ quy mô quốc gia, có</w:t>
        <w:br w:type="textWrapping"/>
        <w:t xml:space="preserve">trọng tâm và cơ chế điều phối thống nhất; (3) Phải phân định rõ vai trò giữa cơ quan</w:t>
        <w:br w:type="textWrapping"/>
        <w:t xml:space="preserve">điều phối trung ương và các bộ ngành để bảo đảm hiệu quả triển khai; (4) Doanh</w:t>
        <w:br w:type="textWrapping"/>
        <w:t xml:space="preserve">nghiệp phải ở vị trí trung tâm hệ sinh thái, Nhà nước tập trung hỗ trợ hạ tầng, nghiên</w:t>
        <w:br w:type="textWrapping"/>
        <w:t xml:space="preserve">cứu nền tảng và giảm rủi ro ban đầu; (5) Chính sách công nghệ phải bao trùm toàn</w:t>
        <w:br w:type="textWrapping"/>
        <w:t xml:space="preserve">chuỗi giá trị, gắn với công nghiệp, chuỗi cung ứng và tiêu chuẩn; (6) Nguồn nhân</w:t>
        <w:br w:type="textWrapping"/>
        <w:t xml:space="preserve">lực chất lượng cao và hạ tầng nghiên cứu - tính toán là điều kiện quyết định; (7) Cần</w:t>
        <w:br w:type="textWrapping"/>
        <w:t xml:space="preserve">cân bằng giữa mục tiêu ngắn hạn (tạo sản phẩm, thị trường) và dài hạn (đầu tư công</w:t>
        <w:br w:type="textWrapping"/>
        <w:t xml:space="preserve">nghệ lõi, nền tảng, tự chủ chiến lược).</w:t>
      </w:r>
    </w:p>
    <w:p w:rsidR="00000000" w:rsidDel="00000000" w:rsidP="00000000" w:rsidRDefault="00000000" w:rsidRPr="00000000" w14:paraId="0000004B">
      <w:pPr>
        <w:spacing w:after="0" w:before="12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KIẾN NGHỊ, ĐỀ XUẤT</w:t>
      </w:r>
    </w:p>
    <w:p w:rsidR="00000000" w:rsidDel="00000000" w:rsidP="00000000" w:rsidRDefault="00000000" w:rsidRPr="00000000" w14:paraId="0000004C">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Để tiếp tục thúc đẩy phát triển CNCL và nâng cao hiệu quả triển khai trong giai đoạn tới, trên cơ sở bám sát các định hướng chỉ đạo tại Thông báo kết luận số 22 ngày 20/3/2026 của Thường trực Ban Chỉ đạo Trung ương về phát triển khoa học, công nghệ, đổi mới sáng tạo và chuyển đổi số, các bộ, ngành và địa phương cần tập trung thực hiện một số nhóm nhiệm vụ và giải pháp trọng tâm sau:</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120" w:line="360"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Xây dựng nhiệm vụ phát triển công nghệ chiến lược</w:t>
      </w:r>
    </w:p>
    <w:p w:rsidR="00000000" w:rsidDel="00000000" w:rsidP="00000000" w:rsidRDefault="00000000" w:rsidRPr="00000000" w14:paraId="0000004E">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cơ quan được giao nhiệm vụ tại Quyết định số 808/QĐ-TTg chủ trì xây dựng đề xuất nhiệm vụ phát triển công nghệ chiến lược thuộc lĩnh vực được phân công; phối hợp với Bộ Khoa học và Công nghệ, doanh nghiệp, viện nghiên cứu, trường đại học và địa phương liên quan. Mỗi đề xuất nhiệm vụ cần xác định rõ: bài toán cần giải quyết; sản phẩm đầu ra; chỉ tiêu kỹ thuật chính; đơn vị thực hiện; doanh nghiệp, viện nghiên cứu, trường đại học tham gia; nguồn lực; phương thức triển khai; tiến độ thực hiện; vướng mắc cần tháo gỡ. Thời hạn các bộ, cơ quan gửi Bộ Khoa học và Công nghệ: trước ngày 15 tháng 6 năm 2026.</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120" w:line="360"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Bố trí kinh phí thực hiện nhiệm vụ phát triển công nghệ chiến lược</w:t>
      </w:r>
    </w:p>
    <w:p w:rsidR="00000000" w:rsidDel="00000000" w:rsidP="00000000" w:rsidRDefault="00000000" w:rsidRPr="00000000" w14:paraId="00000050">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Khoa học và Công nghệ chủ trì, phối hợp với Bộ Tài chính và các bộ, cơ quan trung ương, đề xuất phương án bố trí kinh phí thực hiện nhiệm vụ phát triển công nghệ chiến lược thông qua Quỹ Phát triển khoa học và công nghệ quốc gia, Quỹ Đổi mới công nghệ quốc gia, quỹ phát triển khoa học, công nghệ và đổi mới sáng tạo của bộ, cơ quan trung ương hoặc trong dự toán ngân sách nhà nước hằng năm của các bộ, cơ quan trung ương. Hoàn thành trước ngày 15 tháng 7 năm 2026.</w:t>
      </w:r>
    </w:p>
    <w:p w:rsidR="00000000" w:rsidDel="00000000" w:rsidP="00000000" w:rsidRDefault="00000000" w:rsidRPr="00000000" w14:paraId="00000051">
      <w:pPr>
        <w:spacing w:after="0" w:before="12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Tổng hợp, xử lý một số vướng mắc cấp bách của doanh nghiệp</w:t>
      </w:r>
    </w:p>
    <w:p w:rsidR="00000000" w:rsidDel="00000000" w:rsidP="00000000" w:rsidRDefault="00000000" w:rsidRPr="00000000" w14:paraId="00000052">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Khoa học và Công nghệ, với vai trò cơ quan thường trực Tổ Công tác, chủ trì làm việc trực tiếp với các doanh nghiệp, tiếp nhận, phân loại các vướng mắc của doanh nghiệp trong phát triển công nghệ chiến lược. Trước mắt, lựa chọn một số trường hợp doanh nghiệp có sản phẩm công nghệ chiến lược đã sẵn sàng, nếu tháo gỡ được cơ chế thì có thể tạo chuyển biến ngay, để đưa vào diện Tổ Công tác theo dõi, điều phối và xử lý.Thời hạn hoàn thành trong tháng 6 năm 2026.</w:t>
      </w:r>
    </w:p>
    <w:p w:rsidR="00000000" w:rsidDel="00000000" w:rsidP="00000000" w:rsidRDefault="00000000" w:rsidRPr="00000000" w14:paraId="00000053">
      <w:pPr>
        <w:spacing w:after="0" w:before="12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Tổng hợp năng lực của viện nghiên cứu, trường đại học phục vụ công nghệ chiến lược</w:t>
      </w:r>
    </w:p>
    <w:p w:rsidR="00000000" w:rsidDel="00000000" w:rsidP="00000000" w:rsidRDefault="00000000" w:rsidRPr="00000000" w14:paraId="00000054">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Giáo dục và Đào tạo chủ trì, phối hợp với Viện Hàn lâm Khoa học và Công nghệ Việt Nam, Đại học Quốc gia Thành phố Hồ Chí Minh, Đại học Quốc gia Hà Nội và các viện nghiên cứu, trường đại học có liên quan chủ trì theo phạm vi quản lý, phối hợp với Bộ Khoa học và Công nghệ tổng hợp năng lực tham gia phát triển công nghệ chiến lược. Nội dung tổng hợp gồm: nhóm nghiên cứu mạnh, phòng thí nghiệm, công nghệ lõi đã làm chủ, trong 10 nhóm công nghệ chiến lược, 30 nhóm sản phẩm công nghệ chiến lược. Hoàn thành trong tháng 5 năm 2026.</w:t>
      </w:r>
    </w:p>
    <w:p w:rsidR="00000000" w:rsidDel="00000000" w:rsidP="00000000" w:rsidRDefault="00000000" w:rsidRPr="00000000" w14:paraId="00000055">
      <w:pPr>
        <w:spacing w:after="0" w:before="12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Tổng hợp nhu cầu ứng dụng và không gian thử nghiệm tại địa phương</w:t>
      </w:r>
    </w:p>
    <w:p w:rsidR="00000000" w:rsidDel="00000000" w:rsidP="00000000" w:rsidRDefault="00000000" w:rsidRPr="00000000" w14:paraId="00000056">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Ủy ban nhân dân các tỉnh, thành phố trực thuộc Trung ương chủ trì, phối hợp với Bộ Khoa học và Công nghệ và các bộ quản lý ngành, rà soát nhu cầu ứng dụng công nghệ chiến lược tại địa phương. Mỗi địa phương cần xác định rõ: bài toán cần giải quyết; sản phẩm công nghệ chiến lược có thể ứng dụng; địa bàn thử nghiệm; khả năng đặt hàng, mua sắm công hoặc thuê dịch vụ nếu sản phẩm đáp ứng yêu cầu. Thời hạn gửi đề xuất về Bộ Khoa học và Công nghệ: trong tháng 6 năm 2026.</w:t>
      </w:r>
    </w:p>
    <w:p w:rsidR="00000000" w:rsidDel="00000000" w:rsidP="00000000" w:rsidRDefault="00000000" w:rsidRPr="00000000" w14:paraId="00000057">
      <w:pPr>
        <w:spacing w:after="0" w:before="12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 Rà soát, hoàn thiện cơ chế, chính sách cho CNCL </w:t>
      </w:r>
    </w:p>
    <w:p w:rsidR="00000000" w:rsidDel="00000000" w:rsidP="00000000" w:rsidRDefault="00000000" w:rsidRPr="00000000" w14:paraId="00000058">
      <w:pPr>
        <w:spacing w:after="0" w:before="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KH&amp;CN chủ trì phối hợp với Bộ Tài Chính, Bộ tư pháp rà soát, hoàn thiện thể chế, chính sách và cơ chế tài chính đặc thù cho phát triển CNCL: Tiếp tục rà soát, hoàn thiện hệ thống văn bản quy phạm pháp luật liên quan đến phát triển CNCL theo hướng đồng bộ, minh bạch và phù hợp với yêu cầu thực tiễn. Hoàn thành trong tháng 5/2026.</w:t>
      </w:r>
    </w:p>
    <w:p w:rsidR="00000000" w:rsidDel="00000000" w:rsidP="00000000" w:rsidRDefault="00000000" w:rsidRPr="00000000" w14:paraId="00000059">
      <w:pPr>
        <w:spacing w:after="0" w:before="12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7. Phát triển nguồn nhân lực chất lượng cao và hệ sinh thái đổi mới sáng tạo:</w:t>
      </w:r>
    </w:p>
    <w:p w:rsidR="00000000" w:rsidDel="00000000" w:rsidP="00000000" w:rsidRDefault="00000000" w:rsidRPr="00000000" w14:paraId="0000005A">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Giáo dục và Đào tạo chủ trì, phối hợp với Bộ KH&amp;CN đẩy mạnh đào tạo nguồn nhân lực chất lượng cao phục vụ phát triển CNCL, ưu tiên đào tạo kỹ sư, thạc sĩ, tiến sĩ, chuyên gia đầu ngành và hình thành các nhóm nghiên cứu mạnh trong các lĩnh vực CNCL. Tăng cường liên kết giữa cơ sở đào tạo với doanh nghiệp, viện nghiên cứu và các chương trình công nghệ trọng điểm nhằm bảo đảm đào tạo gắn với nhu cầu thực tiễn. </w:t>
      </w:r>
    </w:p>
    <w:p w:rsidR="00000000" w:rsidDel="00000000" w:rsidP="00000000" w:rsidRDefault="00000000" w:rsidRPr="00000000" w14:paraId="0000005B">
      <w:pPr>
        <w:spacing w:after="0" w:before="120"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 Phát huy vai trò trung tâm của doanh nghiệp và thúc đẩy thị trường CNCL </w:t>
      </w:r>
    </w:p>
    <w:p w:rsidR="00000000" w:rsidDel="00000000" w:rsidP="00000000" w:rsidRDefault="00000000" w:rsidRPr="00000000" w14:paraId="0000005C">
      <w:pPr>
        <w:spacing w:after="0" w:before="1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bộ, cơ quan xác định doanh nghiệp cần được xác định là trung tâm của hệ sinh thái phát triển CNCL, đóng vai trò dẫn dắt trong nghiên cứu, đầu tư và thương mại hóa sản phẩm. Nhà nước giữ vai trò định hướng chiến lược, tạo môi trường thể chế thuận lợi, hỗ trợ nghiên cứu phát triển và mở rộng thị trường thông qua cơ chế mua sắm công và các chính sách khuyến khích phù hợp.</w:t>
      </w:r>
    </w:p>
    <w:p w:rsidR="00000000" w:rsidDel="00000000" w:rsidP="00000000" w:rsidRDefault="00000000" w:rsidRPr="00000000" w14:paraId="0000005D">
      <w:pPr>
        <w:spacing w:after="0" w:before="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000000"/>
          <w:sz w:val="28"/>
          <w:szCs w:val="28"/>
          <w:rtl w:val="0"/>
        </w:rPr>
        <w:t xml:space="preserve">Trên đây là báo cáo đánh giá kết quả triển khai CNCL, Bộ KH&amp;CN kính báo cáo Thủ tướng Chính phủ./.</w:t>
      </w:r>
    </w:p>
    <w:tbl>
      <w:tblPr>
        <w:tblStyle w:val="Table2"/>
        <w:tblW w:w="9498.0" w:type="dxa"/>
        <w:jc w:val="left"/>
        <w:tblLayout w:type="fixed"/>
        <w:tblLook w:val="0000"/>
      </w:tblPr>
      <w:tblGrid>
        <w:gridCol w:w="247"/>
        <w:gridCol w:w="9251"/>
        <w:tblGridChange w:id="0">
          <w:tblGrid>
            <w:gridCol w:w="247"/>
            <w:gridCol w:w="9251"/>
          </w:tblGrid>
        </w:tblGridChange>
      </w:tblGrid>
      <w:tr>
        <w:trPr>
          <w:cantSplit w:val="0"/>
          <w:tblHeader w:val="0"/>
        </w:trPr>
        <w:tc>
          <w:tcPr/>
          <w:p w:rsidR="00000000" w:rsidDel="00000000" w:rsidP="00000000" w:rsidRDefault="00000000" w:rsidRPr="00000000" w14:paraId="0000005E">
            <w:pPr>
              <w:widowControl w:val="0"/>
              <w:spacing w:after="120" w:before="120" w:line="240" w:lineRule="auto"/>
              <w:ind w:firstLine="547"/>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bl>
            <w:tblPr>
              <w:tblStyle w:val="Table3"/>
              <w:tblW w:w="7850.0" w:type="dxa"/>
              <w:jc w:val="left"/>
              <w:tblLayout w:type="fixed"/>
              <w:tblLook w:val="0400"/>
            </w:tblPr>
            <w:tblGrid>
              <w:gridCol w:w="7850"/>
              <w:tblGridChange w:id="0">
                <w:tblGrid>
                  <w:gridCol w:w="7850"/>
                </w:tblGrid>
              </w:tblGridChange>
            </w:tblGrid>
            <w:tr>
              <w:trPr>
                <w:cantSplit w:val="0"/>
                <w:tblHeader w:val="0"/>
              </w:trPr>
              <w:tc>
                <w:tcPr/>
                <w:p w:rsidR="00000000" w:rsidDel="00000000" w:rsidP="00000000" w:rsidRDefault="00000000" w:rsidRPr="00000000" w14:paraId="00000060">
                  <w:pPr>
                    <w:widowControl w:val="0"/>
                    <w:spacing w:after="120" w:before="120" w:line="240" w:lineRule="auto"/>
                    <w:ind w:firstLine="547"/>
                    <w:jc w:val="right"/>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BỘ KHOA HỌC VÀ CÔNG NGHỆ</w:t>
                  </w:r>
                </w:p>
              </w:tc>
            </w:tr>
          </w:tbl>
          <w:p w:rsidR="00000000" w:rsidDel="00000000" w:rsidP="00000000" w:rsidRDefault="00000000" w:rsidRPr="00000000" w14:paraId="00000061">
            <w:pPr>
              <w:widowControl w:val="0"/>
              <w:spacing w:after="120" w:before="120" w:line="240" w:lineRule="auto"/>
              <w:ind w:firstLine="547"/>
              <w:jc w:val="both"/>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62">
      <w:pPr>
        <w:spacing w:after="0" w:before="120" w:line="360" w:lineRule="auto"/>
        <w:jc w:val="both"/>
        <w:rPr>
          <w:rFonts w:ascii="Times New Roman" w:cs="Times New Roman" w:eastAsia="Times New Roman" w:hAnsi="Times New Roman"/>
          <w:i w:val="1"/>
          <w:iCs w:val="1"/>
          <w:sz w:val="28"/>
          <w:szCs w:val="28"/>
        </w:rPr>
        <w:sectPr>
          <w:headerReference r:id="rId9" w:type="default"/>
          <w:headerReference r:id="rId10" w:type="first"/>
          <w:pgSz w:h="15840" w:w="12240" w:orient="portrait"/>
          <w:pgMar w:bottom="1134" w:top="1134" w:left="1701" w:right="1134" w:header="709" w:footer="709"/>
          <w:pgNumType w:start="1"/>
          <w:titlePg w:val="1"/>
        </w:sect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Phụ lục I</w:t>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TỔNG HỢP CƠ CHẾ, CHÍNH SÁCH LIÊN QUAN ĐẾN CÔNG NGHỆ CHIẾN LƯỢC</w:t>
      </w:r>
    </w:p>
    <w:p w:rsidR="00000000" w:rsidDel="00000000" w:rsidP="00000000" w:rsidRDefault="00000000" w:rsidRPr="00000000" w14:paraId="00000065">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263"/>
        <w:gridCol w:w="4961"/>
        <w:gridCol w:w="1418"/>
        <w:tblGridChange w:id="0">
          <w:tblGrid>
            <w:gridCol w:w="851"/>
            <w:gridCol w:w="2263"/>
            <w:gridCol w:w="4961"/>
            <w:gridCol w:w="1418"/>
          </w:tblGrid>
        </w:tblGridChange>
      </w:tblGrid>
      <w:tr>
        <w:trPr>
          <w:cantSplit w:val="0"/>
          <w:tblHeader w:val="0"/>
        </w:trPr>
        <w:tc>
          <w:tcPr>
            <w:shd w:fill="d1d1d1" w:val="clear"/>
          </w:tcPr>
          <w:p w:rsidR="00000000" w:rsidDel="00000000" w:rsidP="00000000" w:rsidRDefault="00000000" w:rsidRPr="00000000" w14:paraId="00000066">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TT </w:t>
            </w:r>
          </w:p>
        </w:tc>
        <w:tc>
          <w:tcPr>
            <w:shd w:fill="d1d1d1" w:val="clear"/>
          </w:tcPr>
          <w:p w:rsidR="00000000" w:rsidDel="00000000" w:rsidP="00000000" w:rsidRDefault="00000000" w:rsidRPr="00000000" w14:paraId="00000067">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Tên văn bản </w:t>
            </w:r>
          </w:p>
          <w:p w:rsidR="00000000" w:rsidDel="00000000" w:rsidP="00000000" w:rsidRDefault="00000000" w:rsidRPr="00000000" w14:paraId="00000068">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(Số hiệu)</w:t>
            </w:r>
          </w:p>
        </w:tc>
        <w:tc>
          <w:tcPr>
            <w:shd w:fill="d1d1d1" w:val="clear"/>
          </w:tcPr>
          <w:p w:rsidR="00000000" w:rsidDel="00000000" w:rsidP="00000000" w:rsidRDefault="00000000" w:rsidRPr="00000000" w14:paraId="00000069">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Nội dung liên quan trọng tâm đến </w:t>
            </w:r>
          </w:p>
          <w:p w:rsidR="00000000" w:rsidDel="00000000" w:rsidP="00000000" w:rsidRDefault="00000000" w:rsidRPr="00000000" w14:paraId="0000006A">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Công nghệ chiến lược</w:t>
            </w:r>
          </w:p>
        </w:tc>
        <w:tc>
          <w:tcPr>
            <w:shd w:fill="d1d1d1" w:val="clear"/>
          </w:tcPr>
          <w:p w:rsidR="00000000" w:rsidDel="00000000" w:rsidP="00000000" w:rsidRDefault="00000000" w:rsidRPr="00000000" w14:paraId="0000006B">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Ngày có hiệu lực</w:t>
            </w:r>
          </w:p>
        </w:tc>
      </w:tr>
      <w:tr>
        <w:trPr>
          <w:cantSplit w:val="0"/>
          <w:tblHeader w:val="0"/>
        </w:trPr>
        <w:tc>
          <w:tcPr/>
          <w:p w:rsidR="00000000" w:rsidDel="00000000" w:rsidP="00000000" w:rsidRDefault="00000000" w:rsidRPr="00000000" w14:paraId="0000006C">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I</w:t>
            </w:r>
          </w:p>
        </w:tc>
        <w:tc>
          <w:tcPr/>
          <w:p w:rsidR="00000000" w:rsidDel="00000000" w:rsidP="00000000" w:rsidRDefault="00000000" w:rsidRPr="00000000" w14:paraId="0000006D">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Nghị quyết</w:t>
            </w:r>
          </w:p>
        </w:tc>
        <w:tc>
          <w:tcPr/>
          <w:p w:rsidR="00000000" w:rsidDel="00000000" w:rsidP="00000000" w:rsidRDefault="00000000" w:rsidRPr="00000000" w14:paraId="0000006E">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p w:rsidR="00000000" w:rsidDel="00000000" w:rsidP="00000000" w:rsidRDefault="00000000" w:rsidRPr="00000000" w14:paraId="0000006F">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p w:rsidR="00000000" w:rsidDel="00000000" w:rsidP="00000000" w:rsidRDefault="00000000" w:rsidRPr="00000000" w14:paraId="00000071">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Nghị quyết về thí điểm một số cơ chế, chính sách đặc biệt tạo đột phá phát triển KH, CN&amp;ĐMST và chuyển đổi số quốc gia (193/2025/QH15)</w:t>
            </w:r>
          </w:p>
        </w:tc>
        <w:tc>
          <w:tcPr/>
          <w:p w:rsidR="00000000" w:rsidDel="00000000" w:rsidP="00000000" w:rsidRDefault="00000000" w:rsidRPr="00000000" w14:paraId="00000072">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Tập trung tháo gỡ các điểm nghẽn để phát triển khoa học, công nghệ, đổi mới sáng tạo và chuyển đổi số; áp dụng cơ chế đặc biệt đối với nghiên cứu, phát triển và thương mại hóa công nghệ chiến lược; chấp nhận rủi ro trong nghiên cứu khoa học; thúc đẩy hình thành doanh nghiệp khoa học và công nghệ, doanh nghiệp spin-off; ưu đãi tài chính, thuế cho hoạt động R&amp;D; đồng thời thu hút, trọng dụng nhân lực chất lượng cao phục vụ phát triển các công nghệ chiến lược, công nghệ lõi và công nghệ mới nổi.</w:t>
            </w:r>
          </w:p>
        </w:tc>
        <w:tc>
          <w:tcPr/>
          <w:p w:rsidR="00000000" w:rsidDel="00000000" w:rsidP="00000000" w:rsidRDefault="00000000" w:rsidRPr="00000000" w14:paraId="0000007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19/02/2025</w:t>
            </w:r>
          </w:p>
        </w:tc>
      </w:tr>
      <w:tr>
        <w:trPr>
          <w:cantSplit w:val="0"/>
          <w:tblHeader w:val="0"/>
        </w:trPr>
        <w:tc>
          <w:tcPr/>
          <w:p w:rsidR="00000000" w:rsidDel="00000000" w:rsidP="00000000" w:rsidRDefault="00000000" w:rsidRPr="00000000" w14:paraId="00000074">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II</w:t>
            </w:r>
          </w:p>
        </w:tc>
        <w:tc>
          <w:tcPr/>
          <w:p w:rsidR="00000000" w:rsidDel="00000000" w:rsidP="00000000" w:rsidRDefault="00000000" w:rsidRPr="00000000" w14:paraId="00000075">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Luật</w:t>
            </w:r>
          </w:p>
        </w:tc>
        <w:tc>
          <w:tcPr/>
          <w:p w:rsidR="00000000" w:rsidDel="00000000" w:rsidP="00000000" w:rsidRDefault="00000000" w:rsidRPr="00000000" w14:paraId="00000076">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p w:rsidR="00000000" w:rsidDel="00000000" w:rsidP="00000000" w:rsidRDefault="00000000" w:rsidRPr="00000000" w14:paraId="00000077">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9">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Khoa học, công nghệ và đổi mới sáng tạo (93/2025/QH15)</w:t>
            </w:r>
            <w:r w:rsidDel="00000000" w:rsidR="00000000" w:rsidRPr="00000000">
              <w:rPr>
                <w:rtl w:val="0"/>
              </w:rPr>
            </w:r>
          </w:p>
        </w:tc>
        <w:tc>
          <w:tcPr/>
          <w:p w:rsidR="00000000" w:rsidDel="00000000" w:rsidP="00000000" w:rsidRDefault="00000000" w:rsidRPr="00000000" w14:paraId="0000007A">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Tập trung nguồn lực cho công nghệ chiến lược; thiết lập các nhiệm vụ/chương trình quốc gia đặc biệt để phát triển công nghệ chiến lược; ưu tiên hỗ trợ và áp dụng cơ chế đặc biệt trong giải mã công nghệ, mua bí quyết công nghệ; hỗ trợ doanh nghiệp đầu tư và trọng dụng nhân tài trong lĩnh vực này.</w:t>
            </w:r>
            <w:r w:rsidDel="00000000" w:rsidR="00000000" w:rsidRPr="00000000">
              <w:rPr>
                <w:rtl w:val="0"/>
              </w:rPr>
            </w:r>
          </w:p>
        </w:tc>
        <w:tc>
          <w:tcPr/>
          <w:p w:rsidR="00000000" w:rsidDel="00000000" w:rsidP="00000000" w:rsidRDefault="00000000" w:rsidRPr="00000000" w14:paraId="0000007B">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01/10/2025</w:t>
            </w:r>
            <w:r w:rsidDel="00000000" w:rsidR="00000000" w:rsidRPr="00000000">
              <w:rPr>
                <w:rtl w:val="0"/>
              </w:rPr>
            </w:r>
          </w:p>
        </w:tc>
      </w:tr>
      <w:tr>
        <w:trPr>
          <w:cantSplit w:val="0"/>
          <w:tblHeader w:val="0"/>
        </w:trPr>
        <w:tc>
          <w:tcPr/>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D">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Công nghệ cao (133/2025/QH15)</w:t>
            </w:r>
          </w:p>
        </w:tc>
        <w:tc>
          <w:tcPr/>
          <w:p w:rsidR="00000000" w:rsidDel="00000000" w:rsidP="00000000" w:rsidRDefault="00000000" w:rsidRPr="00000000" w14:paraId="0000007E">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Đưa ra định nghĩa chính thức về Công nghệ chiến lược; quy định chính sách phát triển, tiêu chí xác định công nghệ/sản phẩm công nghệ chiến lược; thúc đẩy nghiên cứu, phát triển, chuyển giao và thương mại hóa; ưu đãi cao nhất về thuế, đất đai và đầu tư cho doanh nghiệp công nghệ chiến lược.</w:t>
            </w:r>
          </w:p>
        </w:tc>
        <w:tc>
          <w:tcPr/>
          <w:p w:rsidR="00000000" w:rsidDel="00000000" w:rsidP="00000000" w:rsidRDefault="00000000" w:rsidRPr="00000000" w14:paraId="0000007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01/7/2026</w:t>
            </w:r>
          </w:p>
        </w:tc>
      </w:tr>
      <w:tr>
        <w:trPr>
          <w:cantSplit w:val="0"/>
          <w:tblHeader w:val="0"/>
        </w:trPr>
        <w:tc>
          <w:tcPr/>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1">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sửa đổi, bổ sung Luật Chuyển giao công nghệ (115/2025/QH15)</w:t>
            </w:r>
          </w:p>
        </w:tc>
        <w:tc>
          <w:tcPr/>
          <w:p w:rsidR="00000000" w:rsidDel="00000000" w:rsidP="00000000" w:rsidRDefault="00000000" w:rsidRPr="00000000" w14:paraId="00000082">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Ưu tiên chuyển giao công nghệ chiến lược từ nước ngoài vào Việt Nam; khuyến khích giải mã, làm chủ công nghệ chiến lược phục vụ mục tiêu quốc gia; ưu tiên áp dụng chính sách ưu đãi cho các dự án đầu tư có nội dung chuyển giao công nghệ chiến lược.</w:t>
            </w:r>
          </w:p>
        </w:tc>
        <w:tc>
          <w:tcPr/>
          <w:p w:rsidR="00000000" w:rsidDel="00000000" w:rsidP="00000000" w:rsidRDefault="00000000" w:rsidRPr="00000000" w14:paraId="0000008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01/4/2026</w:t>
            </w:r>
          </w:p>
        </w:tc>
      </w:tr>
      <w:tr>
        <w:trPr>
          <w:cantSplit w:val="0"/>
          <w:tblHeader w:val="0"/>
        </w:trPr>
        <w:tc>
          <w:tcPr/>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5">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sửa đổi bổ sung một số điều của Luật Sở hữu trí tuệ (131/2025/QH15)</w:t>
            </w:r>
          </w:p>
        </w:tc>
        <w:tc>
          <w:tcPr/>
          <w:p w:rsidR="00000000" w:rsidDel="00000000" w:rsidP="00000000" w:rsidRDefault="00000000" w:rsidRPr="00000000" w14:paraId="00000086">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thiện cơ chế bảo hộ, khai thác và thương mại hóa tài sản trí tuệ phục vụ đổi mới sáng tạo và phát triển công nghệ chiến lược; thúc đẩy chuyển giao, góp vốn bằng quyền sở hữu trí tuệ; hỗ trợ hình thành hệ sinh thái sở hữu trí tuệ đồng bộ; tăng cường bảo hộ đối với kết quả nghiên cứu, công nghệ mới và sản phẩm tạo ra từ trí tuệ nhân tạo; đồng thời khuyến khích hợp tác, chia sẻ quyền sở hữu trí tuệ giữa Nhà nước, nhà khoa học, tổ chức khoa học và công nghệ với doanh nghiệp</w:t>
            </w:r>
          </w:p>
        </w:tc>
        <w:tc>
          <w:tcPr/>
          <w:p w:rsidR="00000000" w:rsidDel="00000000" w:rsidP="00000000" w:rsidRDefault="00000000" w:rsidRPr="00000000" w14:paraId="00000087">
            <w:pPr>
              <w:spacing w:after="120" w:before="120" w:lineRule="auto"/>
              <w:jc w:val="center"/>
              <w:rPr/>
            </w:pPr>
            <w:r w:rsidDel="00000000" w:rsidR="00000000" w:rsidRPr="00000000">
              <w:rPr>
                <w:rFonts w:ascii="Times New Roman" w:cs="Times New Roman" w:eastAsia="Times New Roman" w:hAnsi="Times New Roman"/>
                <w:sz w:val="26"/>
                <w:szCs w:val="26"/>
                <w:rtl w:val="0"/>
              </w:rPr>
              <w:t xml:space="preserve">01/4/2026.</w:t>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9">
            <w:pPr>
              <w:spacing w:after="120" w:before="120" w:lineRule="auto"/>
              <w:jc w:val="both"/>
              <w:rPr>
                <w:rFonts w:ascii="Times New Roman" w:cs="Times New Roman" w:eastAsia="Times New Roman" w:hAnsi="Times New Roman"/>
                <w:color w:val="000000"/>
                <w:sz w:val="26"/>
                <w:szCs w:val="26"/>
              </w:rPr>
            </w:pPr>
            <w:hyperlink r:id="rId11">
              <w:r w:rsidDel="00000000" w:rsidR="00000000" w:rsidRPr="00000000">
                <w:rPr>
                  <w:rFonts w:ascii="Times New Roman" w:cs="Times New Roman" w:eastAsia="Times New Roman" w:hAnsi="Times New Roman"/>
                  <w:color w:val="000000"/>
                  <w:sz w:val="26"/>
                  <w:szCs w:val="26"/>
                  <w:rtl w:val="0"/>
                </w:rPr>
                <w:t xml:space="preserve">Luật Công nghiệp công nghệ số 2025</w:t>
              </w:r>
            </w:hyperlink>
            <w:r w:rsidDel="00000000" w:rsidR="00000000" w:rsidRPr="00000000">
              <w:rPr>
                <w:rFonts w:ascii="Times New Roman" w:cs="Times New Roman" w:eastAsia="Times New Roman" w:hAnsi="Times New Roman"/>
                <w:color w:val="000000"/>
                <w:sz w:val="26"/>
                <w:szCs w:val="26"/>
                <w:rtl w:val="0"/>
              </w:rPr>
              <w:t xml:space="preserve"> (71/2025/QH15 QH)</w:t>
            </w:r>
          </w:p>
        </w:tc>
        <w:tc>
          <w:tcPr/>
          <w:p w:rsidR="00000000" w:rsidDel="00000000" w:rsidP="00000000" w:rsidRDefault="00000000" w:rsidRPr="00000000" w14:paraId="0000008A">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Tập trung phát triển công nghiệp công nghệ số trở thành ngành kinh tế nền tảng, ưu tiên phát triển các công nghệ chiến lược và công nghệ số lõi như trí tuệ nhân tạo, bán dẫn, dữ liệu lớn, điện toán đám mây, blockchain và hạ tầng số; thúc đẩy hình thành doanh nghiệp công nghệ số Việt Nam có năng lực cạnh tranh toàn cầu; hỗ trợ nghiên cứu, thiết kế, sản xuất sản phẩm công nghệ số “Make in Vietnam”; áp dụng cơ chế ưu đãi, hỗ trợ đầu tư, phát triển nhân lực chất lượng cao và thúc đẩy chuyển đổi số toàn diện phục vụ phát triển kinh tế số, xã hội số và chính phủ số.</w:t>
            </w:r>
          </w:p>
        </w:tc>
        <w:tc>
          <w:tcPr/>
          <w:p w:rsidR="00000000" w:rsidDel="00000000" w:rsidP="00000000" w:rsidRDefault="00000000" w:rsidRPr="00000000" w14:paraId="0000008B">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01/01/2026</w:t>
            </w: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D">
            <w:pPr>
              <w:spacing w:after="120" w:before="120" w:lineRule="auto"/>
              <w:jc w:val="both"/>
              <w:rPr>
                <w:rFonts w:ascii="Times New Roman" w:cs="Times New Roman" w:eastAsia="Times New Roman" w:hAnsi="Times New Roman"/>
                <w:color w:val="000000"/>
                <w:sz w:val="26"/>
                <w:szCs w:val="26"/>
              </w:rPr>
            </w:pPr>
            <w:hyperlink r:id="rId12">
              <w:r w:rsidDel="00000000" w:rsidR="00000000" w:rsidRPr="00000000">
                <w:rPr>
                  <w:rFonts w:ascii="Times New Roman" w:cs="Times New Roman" w:eastAsia="Times New Roman" w:hAnsi="Times New Roman"/>
                  <w:color w:val="000000"/>
                  <w:sz w:val="26"/>
                  <w:szCs w:val="26"/>
                  <w:rtl w:val="0"/>
                </w:rPr>
                <w:t xml:space="preserve">Luật Tiêu chuẩn và quy chuẩn kỹ thuật sửa đổi 2025</w:t>
              </w:r>
            </w:hyperlink>
            <w:r w:rsidDel="00000000" w:rsidR="00000000" w:rsidRPr="00000000">
              <w:rPr>
                <w:rFonts w:ascii="Times New Roman" w:cs="Times New Roman" w:eastAsia="Times New Roman" w:hAnsi="Times New Roman"/>
                <w:color w:val="000000"/>
                <w:sz w:val="26"/>
                <w:szCs w:val="26"/>
                <w:rtl w:val="0"/>
              </w:rPr>
              <w:t xml:space="preserve"> (70/2025/QH15)</w:t>
            </w:r>
          </w:p>
        </w:tc>
        <w:tc>
          <w:tcPr/>
          <w:p w:rsidR="00000000" w:rsidDel="00000000" w:rsidP="00000000" w:rsidRDefault="00000000" w:rsidRPr="00000000" w14:paraId="0000008E">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thiện hệ thống tiêu chuẩn, quy chuẩn kỹ thuật phục vụ phát triển khoa học, công nghệ, đổi mới sáng tạo và công nghệ chiến lược; thúc đẩy hài hòa tiêu chuẩn quốc gia với tiêu chuẩn quốc tế; ưu tiên xây dựng tiêu chuẩn đối với các công nghệ số, công nghệ cao, sản phẩm công nghệ chiến lược và hạ tầng số; tăng cường cơ chế thử nghiệm, đánh giá sự phù hợp, truy xuất nguồn gốc và chuyển đổi số trong hoạt động tiêu chuẩn đo lường chất lượng; đồng thời tạo thuận lợi cho doanh nghiệp đổi mới công nghệ, tham gia chuỗi giá trị và nâng cao năng lực cạnh tranh quốc tế</w:t>
            </w:r>
          </w:p>
        </w:tc>
        <w:tc>
          <w:tcPr/>
          <w:p w:rsidR="00000000" w:rsidDel="00000000" w:rsidP="00000000" w:rsidRDefault="00000000" w:rsidRPr="00000000" w14:paraId="0000008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01/01/2026</w:t>
            </w:r>
          </w:p>
        </w:tc>
      </w:tr>
      <w:tr>
        <w:trPr>
          <w:cantSplit w:val="0"/>
          <w:tblHeader w:val="0"/>
        </w:trPr>
        <w:tc>
          <w:tcPr/>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91">
            <w:pPr>
              <w:spacing w:after="120" w:before="120" w:lineRule="auto"/>
              <w:jc w:val="both"/>
              <w:rPr>
                <w:rFonts w:ascii="Times New Roman" w:cs="Times New Roman" w:eastAsia="Times New Roman" w:hAnsi="Times New Roman"/>
                <w:color w:val="000000"/>
                <w:sz w:val="26"/>
                <w:szCs w:val="26"/>
              </w:rPr>
            </w:pPr>
            <w:hyperlink r:id="rId13">
              <w:r w:rsidDel="00000000" w:rsidR="00000000" w:rsidRPr="00000000">
                <w:rPr>
                  <w:rFonts w:ascii="Times New Roman" w:cs="Times New Roman" w:eastAsia="Times New Roman" w:hAnsi="Times New Roman"/>
                  <w:color w:val="000000"/>
                  <w:sz w:val="26"/>
                  <w:szCs w:val="26"/>
                  <w:rtl w:val="0"/>
                </w:rPr>
                <w:t xml:space="preserve">Luật Chất lượng sản phẩm, hàng hóa sửa đổi 2025</w:t>
              </w:r>
            </w:hyperlink>
            <w:r w:rsidDel="00000000" w:rsidR="00000000" w:rsidRPr="00000000">
              <w:rPr>
                <w:rFonts w:ascii="Times New Roman" w:cs="Times New Roman" w:eastAsia="Times New Roman" w:hAnsi="Times New Roman"/>
                <w:color w:val="000000"/>
                <w:sz w:val="26"/>
                <w:szCs w:val="26"/>
                <w:rtl w:val="0"/>
              </w:rPr>
              <w:t xml:space="preserve"> (78/2025/QH15)</w:t>
            </w:r>
          </w:p>
        </w:tc>
        <w:tc>
          <w:tcPr/>
          <w:p w:rsidR="00000000" w:rsidDel="00000000" w:rsidP="00000000" w:rsidRDefault="00000000" w:rsidRPr="00000000" w14:paraId="00000092">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Tập trung đổi mới phương thức quản lý chất lượng sản phẩm, hàng hóa theo hướng số hóa, quản lý rủi ro và truy xuất nguồn gốc; tăng cường kiểm soát chất lượng đối với sản phẩm công nghệ cao, công nghệ số và sản phẩm công nghệ chiến lược; thúc đẩy áp dụng tiêu chuẩn, quy chuẩn kỹ thuật và hệ thống đánh giá sự phù hợp tiên tiến; hỗ trợ doanh nghiệp nâng cao năng lực kiểm định, chứng nhận chất lượng và năng lực cạnh tranh quốc tế; đồng thời bảo đảm an toàn, an ninh dữ liệu và quyền lợi người tiêu dùng trong môi trường số.</w:t>
            </w:r>
          </w:p>
        </w:tc>
        <w:tc>
          <w:tcPr/>
          <w:p w:rsidR="00000000" w:rsidDel="00000000" w:rsidP="00000000" w:rsidRDefault="00000000" w:rsidRPr="00000000" w14:paraId="0000009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01/01/2026</w:t>
            </w:r>
          </w:p>
        </w:tc>
      </w:tr>
      <w:tr>
        <w:trPr>
          <w:cantSplit w:val="0"/>
          <w:tblHeader w:val="0"/>
        </w:trPr>
        <w:tc>
          <w:tcPr/>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95">
            <w:pPr>
              <w:spacing w:after="120" w:before="120" w:lineRule="auto"/>
              <w:jc w:val="both"/>
              <w:rPr>
                <w:rFonts w:ascii="Times New Roman" w:cs="Times New Roman" w:eastAsia="Times New Roman" w:hAnsi="Times New Roman"/>
                <w:color w:val="000000"/>
                <w:sz w:val="26"/>
                <w:szCs w:val="26"/>
              </w:rPr>
            </w:pPr>
            <w:hyperlink r:id="rId14">
              <w:r w:rsidDel="00000000" w:rsidR="00000000" w:rsidRPr="00000000">
                <w:rPr>
                  <w:rFonts w:ascii="Times New Roman" w:cs="Times New Roman" w:eastAsia="Times New Roman" w:hAnsi="Times New Roman"/>
                  <w:color w:val="000000"/>
                  <w:sz w:val="26"/>
                  <w:szCs w:val="26"/>
                  <w:rtl w:val="0"/>
                </w:rPr>
                <w:t xml:space="preserve">Luật Năng lượng nguyên tử 2025</w:t>
              </w:r>
            </w:hyperlink>
            <w:r w:rsidDel="00000000" w:rsidR="00000000" w:rsidRPr="00000000">
              <w:rPr>
                <w:rFonts w:ascii="Times New Roman" w:cs="Times New Roman" w:eastAsia="Times New Roman" w:hAnsi="Times New Roman"/>
                <w:color w:val="000000"/>
                <w:sz w:val="26"/>
                <w:szCs w:val="26"/>
                <w:rtl w:val="0"/>
              </w:rPr>
              <w:t xml:space="preserve"> (94/2025/QH15)</w:t>
            </w:r>
          </w:p>
        </w:tc>
        <w:tc>
          <w:tcPr/>
          <w:p w:rsidR="00000000" w:rsidDel="00000000" w:rsidP="00000000" w:rsidRDefault="00000000" w:rsidRPr="00000000" w14:paraId="00000096">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Tập trung phát triển và ứng dụng năng lượng nguyên tử phục vụ phát triển kinh tế - xã hội, bảo đảm quốc phòng, an ninh và an ninh năng lượng quốc gia; ưu tiên nghiên cứu, làm chủ công nghệ hạt nhân và công nghệ bức xạ tiên tiến; thúc đẩy phát triển nguồn nhân lực chất lượng cao, hạ tầng kỹ thuật và hệ sinh thái công nghiệp hạt nhân; tăng cường quản lý an toàn, an ninh hạt nhân, quản lý chất thải phóng xạ và ứng phó sự cố; đồng thời mở rộng hợp tác quốc tế, chuyển giao công nghệ và ứng dụng năng lượng nguyên tử trong y tế, công nghiệp, nông nghiệp và môi trường.</w:t>
            </w:r>
          </w:p>
        </w:tc>
        <w:tc>
          <w:tcPr/>
          <w:p w:rsidR="00000000" w:rsidDel="00000000" w:rsidP="00000000" w:rsidRDefault="00000000" w:rsidRPr="00000000" w14:paraId="0000009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01/01/2026</w:t>
            </w:r>
          </w:p>
        </w:tc>
      </w:tr>
      <w:tr>
        <w:trPr>
          <w:cantSplit w:val="0"/>
          <w:tblHeader w:val="0"/>
        </w:trPr>
        <w:tc>
          <w:tcPr/>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99">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Trí tuệ nhân tạo (134/2025/QH15)</w:t>
            </w:r>
          </w:p>
        </w:tc>
        <w:tc>
          <w:tcPr/>
          <w:p w:rsidR="00000000" w:rsidDel="00000000" w:rsidP="00000000" w:rsidRDefault="00000000" w:rsidRPr="00000000" w14:paraId="0000009A">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Xây dựng khung pháp lý thúc đẩy nghiên cứu, phát triển, triển khai và ứng dụng trí tuệ nhân tạo an toàn, tin cậy và có trách nhiệm; ưu tiên phát triển các mô hình AI lõi, dữ liệu, hạ tầng tính toán và hệ sinh thái AI “Make in Vietnam”; áp dụng cơ chế thử nghiệm có kiểm soát đối với công nghệ AI mới; hỗ trợ doanh nghiệp, tổ chức nghiên cứu và phát triển nguồn nhân lực chất lượng cao trong lĩnh vực AI; đồng thời tăng cường quản lý rủi ro, đạo đức, an ninh mạng, bảo vệ dữ liệu và bảo đảm chủ quyền số quốc gia.</w:t>
            </w:r>
          </w:p>
        </w:tc>
        <w:tc>
          <w:tcPr/>
          <w:p w:rsidR="00000000" w:rsidDel="00000000" w:rsidP="00000000" w:rsidRDefault="00000000" w:rsidRPr="00000000" w14:paraId="0000009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01/3/2026</w:t>
            </w:r>
          </w:p>
        </w:tc>
      </w:tr>
      <w:tr>
        <w:trPr>
          <w:cantSplit w:val="0"/>
          <w:tblHeader w:val="0"/>
        </w:trPr>
        <w:tc>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9D">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Chuyển đổi số (148/2025/QH15)</w:t>
            </w:r>
          </w:p>
        </w:tc>
        <w:tc>
          <w:tcPr/>
          <w:p w:rsidR="00000000" w:rsidDel="00000000" w:rsidP="00000000" w:rsidRDefault="00000000" w:rsidRPr="00000000" w14:paraId="0000009E">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Thúc đẩy chuyển đổi số toàn diện trong cơ quan nhà nước, doanh nghiệp và xã hội; phát triển hạ tầng số, dữ liệu số, nền tảng số và hệ sinh thái số quốc gia; ưu tiên ứng dụng các công nghệ chiến lược như trí tuệ nhân tạo, dữ liệu lớn, điện toán đám mây, IoT và blockchain; thúc đẩy chia sẻ, kết nối và khai thác dữ liệu phục vụ phát triển kinh tế số, xã hội số và chính phủ số; đồng thời bảo đảm an toàn, an ninh mạng, bảo vệ dữ liệu cá nhân và chủ quyền số quốc gia.</w:t>
            </w:r>
          </w:p>
        </w:tc>
        <w:tc>
          <w:tcPr/>
          <w:p w:rsidR="00000000" w:rsidDel="00000000" w:rsidP="00000000" w:rsidRDefault="00000000" w:rsidRPr="00000000" w14:paraId="0000009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01/7/2026</w:t>
            </w:r>
          </w:p>
        </w:tc>
      </w:tr>
      <w:tr>
        <w:trPr>
          <w:cantSplit w:val="0"/>
          <w:tblHeader w:val="0"/>
        </w:trPr>
        <w:tc>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1">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Ngân sách nhà nước 2025 (89/2025/QH15)</w:t>
            </w:r>
          </w:p>
        </w:tc>
        <w:tc>
          <w:tcPr/>
          <w:p w:rsidR="00000000" w:rsidDel="00000000" w:rsidP="00000000" w:rsidRDefault="00000000" w:rsidRPr="00000000" w14:paraId="000000A2">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Đổi mới cơ chế phân bổ, quản lý và sử dụng ngân sách nhà nước theo hướng tăng cường phân cấp, nâng cao hiệu quả và gắn với kết quả đầu ra; ưu tiên bố trí nguồn lực cho khoa học, công nghệ, đổi mới sáng tạo, chuyển đổi số và phát triển công nghệ chiến lược; tạo cơ chế linh hoạt trong sử dụng kinh phí nghiên cứu khoa học, nhiệm vụ công nghệ chiến lược và các chương trình trọng điểm quốc gia; đồng thời đẩy mạnh công khai, minh bạch, số hóa và hiện đại hóa quản lý ngân sách nhà nước.</w:t>
            </w:r>
          </w:p>
        </w:tc>
        <w:tc>
          <w:tcPr/>
          <w:p w:rsidR="00000000" w:rsidDel="00000000" w:rsidP="00000000" w:rsidRDefault="00000000" w:rsidRPr="00000000" w14:paraId="000000A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Từ 01/7/2025 đối với một số quy định về KH, CN, ĐMST và CĐS</w:t>
            </w:r>
          </w:p>
        </w:tc>
      </w:tr>
      <w:tr>
        <w:trPr>
          <w:cantSplit w:val="0"/>
          <w:tblHeader w:val="0"/>
        </w:trPr>
        <w:tc>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5">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Đấu thầu (22/2023/QH15) &amp; Luật sửa đổi các luật về đấu thầu..(90/2025/QH15)</w:t>
            </w:r>
          </w:p>
        </w:tc>
        <w:tc>
          <w:tcPr/>
          <w:p w:rsidR="00000000" w:rsidDel="00000000" w:rsidP="00000000" w:rsidRDefault="00000000" w:rsidRPr="00000000" w14:paraId="000000A6">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Ưu đãi lựa chọn nhà thầu là doanh nghiệp công nghệ chiến lược hoặc cung cấp sản phẩm công nghệ chiến lược; cho phép áp dụng hình thức chỉ định nhà đầu tư đối với các dự án có quyền sở hữu/sử dụng công nghệ chiến lược.</w:t>
            </w:r>
          </w:p>
        </w:tc>
        <w:tc>
          <w:tcPr/>
          <w:p w:rsidR="00000000" w:rsidDel="00000000" w:rsidP="00000000" w:rsidRDefault="00000000" w:rsidRPr="00000000" w14:paraId="000000A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01/7/2025</w:t>
            </w:r>
          </w:p>
        </w:tc>
      </w:tr>
      <w:tr>
        <w:trPr>
          <w:cantSplit w:val="0"/>
          <w:tblHeader w:val="0"/>
        </w:trPr>
        <w:tc>
          <w:tcPr/>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9">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Thuế Thu nhập doanh nghiệp (67/2025/QH15)</w:t>
            </w:r>
          </w:p>
        </w:tc>
        <w:tc>
          <w:tcPr/>
          <w:p w:rsidR="00000000" w:rsidDel="00000000" w:rsidP="00000000" w:rsidRDefault="00000000" w:rsidRPr="00000000" w14:paraId="000000AA">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Ưu đãi thuế đối với hoạt động ứng dụng công nghệ chiến lược theo quy định của pháp luật.</w:t>
            </w:r>
          </w:p>
        </w:tc>
        <w:tc>
          <w:tcPr/>
          <w:p w:rsidR="00000000" w:rsidDel="00000000" w:rsidP="00000000" w:rsidRDefault="00000000" w:rsidRPr="00000000" w14:paraId="000000A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01/10/2025</w:t>
            </w:r>
          </w:p>
        </w:tc>
      </w:tr>
      <w:tr>
        <w:trPr>
          <w:cantSplit w:val="0"/>
          <w:tblHeader w:val="0"/>
        </w:trPr>
        <w:tc>
          <w:tcPr/>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D">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Thuế Thu nhập cá nhân (109/2025/QH15)</w:t>
            </w:r>
          </w:p>
        </w:tc>
        <w:tc>
          <w:tcPr/>
          <w:p w:rsidR="00000000" w:rsidDel="00000000" w:rsidP="00000000" w:rsidRDefault="00000000" w:rsidRPr="00000000" w14:paraId="000000AE">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Miễn thuế thu nhập cá nhân trong 05 năm đối với nhân lực công nghệ cao thực hiện nghiên cứu và phát triển công nghệ chiến lược.</w:t>
            </w:r>
          </w:p>
        </w:tc>
        <w:tc>
          <w:tcPr/>
          <w:p w:rsidR="00000000" w:rsidDel="00000000" w:rsidP="00000000" w:rsidRDefault="00000000" w:rsidRPr="00000000" w14:paraId="000000A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01/7/2026</w:t>
            </w:r>
          </w:p>
        </w:tc>
      </w:tr>
      <w:tr>
        <w:trPr>
          <w:cantSplit w:val="0"/>
          <w:tblHeader w:val="0"/>
        </w:trPr>
        <w:tc>
          <w:tcPr/>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B1">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Hải quan (sửa đổi tại Luật 90/2025/QH15)</w:t>
            </w:r>
          </w:p>
        </w:tc>
        <w:tc>
          <w:tcPr/>
          <w:p w:rsidR="00000000" w:rsidDel="00000000" w:rsidP="00000000" w:rsidRDefault="00000000" w:rsidRPr="00000000" w14:paraId="000000B2">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Áp dụng chế độ ưu tiên đối với hàng hóa xuất nhập khẩu liên quan đến công nghệ chiến lược theo danh mục của Bộ Khoa học và Công nghệ.</w:t>
            </w:r>
          </w:p>
        </w:tc>
        <w:tc>
          <w:tcPr/>
          <w:p w:rsidR="00000000" w:rsidDel="00000000" w:rsidP="00000000" w:rsidRDefault="00000000" w:rsidRPr="00000000" w14:paraId="000000B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01/7/2025</w:t>
            </w:r>
          </w:p>
        </w:tc>
      </w:tr>
      <w:tr>
        <w:trPr>
          <w:cantSplit w:val="0"/>
          <w:tblHeader w:val="0"/>
        </w:trPr>
        <w:tc>
          <w:tcPr/>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B5">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Đầu tư (sửa đổi tại Luật 90/2025/QH15)</w:t>
            </w:r>
          </w:p>
        </w:tc>
        <w:tc>
          <w:tcPr/>
          <w:p w:rsidR="00000000" w:rsidDel="00000000" w:rsidP="00000000" w:rsidRDefault="00000000" w:rsidRPr="00000000" w14:paraId="000000B6">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thiện cơ chế thu hút và sử dụng hiệu quả nguồn lực đầu tư cho khoa học, công nghệ, đổi mới sáng tạo và chuyển đổi số; bổ sung chính sách ưu đãi, hỗ trợ đặc biệt đối với dự án công nghệ cao, công nghệ chiến lược, trung tâm R&amp;D và hạ tầng số; đơn giản hóa thủ tục đầu tư, tăng cường phân cấp và cải thiện môi trường đầu tư kinh doanh; đồng thời khuyến khích doanh nghiệp trong nước tham gia chuỗi giá trị công nghệ, chuyển giao công nghệ và phát triển hệ sinh thái đổi mới sáng tạo quốc gia.</w:t>
            </w:r>
          </w:p>
        </w:tc>
        <w:tc>
          <w:tcPr/>
          <w:p w:rsidR="00000000" w:rsidDel="00000000" w:rsidP="00000000" w:rsidRDefault="00000000" w:rsidRPr="00000000" w14:paraId="000000B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01/7/2025</w:t>
            </w:r>
          </w:p>
        </w:tc>
      </w:tr>
      <w:tr>
        <w:trPr>
          <w:cantSplit w:val="0"/>
          <w:tblHeader w:val="0"/>
        </w:trPr>
        <w:tc>
          <w:tcPr/>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B9">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đầu tư theo phương thức đối tác công tư (sửa đổi tại Luật 90/2025/QH15)</w:t>
            </w:r>
          </w:p>
        </w:tc>
        <w:tc>
          <w:tcPr/>
          <w:p w:rsidR="00000000" w:rsidDel="00000000" w:rsidP="00000000" w:rsidRDefault="00000000" w:rsidRPr="00000000" w14:paraId="000000BA">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thiện cơ chế thu hút và sử dụng hiệu quả nguồn lực đầu tư cho khoa học, công nghệ, đổi mới sáng tạo và chuyển đổi số; bổ sung chính sách ưu đãi, hỗ trợ đặc biệt đối với dự án công nghệ cao, công nghệ chiến lược, trung tâm R&amp;D và hạ tầng số; đơn giản hóa thủ tục đầu tư, tăng cường phân cấp và cải thiện môi trường đầu tư kinh doanh; đồng thời khuyến khích doanh nghiệp trong nước tham gia chuỗi giá trị công nghệ, chuyển giao công nghệ và phát triển hệ sinh thái đổi mới sáng tạo quốc gia.</w:t>
            </w:r>
          </w:p>
        </w:tc>
        <w:tc>
          <w:tcPr/>
          <w:p w:rsidR="00000000" w:rsidDel="00000000" w:rsidP="00000000" w:rsidRDefault="00000000" w:rsidRPr="00000000" w14:paraId="000000B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01/7/2025</w:t>
            </w:r>
          </w:p>
        </w:tc>
      </w:tr>
      <w:tr>
        <w:trPr>
          <w:cantSplit w:val="0"/>
          <w:tblHeader w:val="0"/>
        </w:trPr>
        <w:tc>
          <w:tcPr/>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BD">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Luật Thuế giá trị gia tăng (sửa đổi tại Luật 90/2025/QH15)</w:t>
            </w:r>
          </w:p>
        </w:tc>
        <w:tc>
          <w:tcPr/>
          <w:p w:rsidR="00000000" w:rsidDel="00000000" w:rsidP="00000000" w:rsidRDefault="00000000" w:rsidRPr="00000000" w14:paraId="000000BE">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Hoàn thiện chính sách thuế nhằm hỗ trợ sản xuất, kinh doanh, đổi mới sáng tạo và chuyển đổi số; mở rộng cơ chế ưu đãi thuế đối với sản phẩm, dịch vụ công nghệ cao, công nghệ số và công nghệ chiến lược; đơn giản hóa thủ tục kê khai, khấu trừ và hoàn thuế theo hướng số hóa, minh bạch; đồng thời tạo điều kiện thúc đẩy đầu tư vào nghiên cứu, phát triển, sản xuất sản phẩm công nghệ “Make in Vietnam” và nâng cao năng lực cạnh tranh của doanh nghiệp trong nền kinh tế số.</w:t>
            </w:r>
          </w:p>
        </w:tc>
        <w:tc>
          <w:tcPr/>
          <w:p w:rsidR="00000000" w:rsidDel="00000000" w:rsidP="00000000" w:rsidRDefault="00000000" w:rsidRPr="00000000" w14:paraId="000000B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01/7/2025</w:t>
            </w:r>
          </w:p>
        </w:tc>
      </w:tr>
      <w:tr>
        <w:trPr>
          <w:cantSplit w:val="0"/>
          <w:tblHeader w:val="0"/>
        </w:trPr>
        <w:tc>
          <w:tcPr/>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C1">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C2">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C3">
            <w:pPr>
              <w:spacing w:after="120" w:before="12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III</w:t>
            </w:r>
          </w:p>
        </w:tc>
        <w:tc>
          <w:tcPr/>
          <w:p w:rsidR="00000000" w:rsidDel="00000000" w:rsidP="00000000" w:rsidRDefault="00000000" w:rsidRPr="00000000" w14:paraId="000000C5">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Nghị định</w:t>
            </w:r>
          </w:p>
        </w:tc>
        <w:tc>
          <w:tcPr/>
          <w:p w:rsidR="00000000" w:rsidDel="00000000" w:rsidP="00000000" w:rsidRDefault="00000000" w:rsidRPr="00000000" w14:paraId="000000C6">
            <w:pPr>
              <w:spacing w:after="120" w:before="12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p w:rsidR="00000000" w:rsidDel="00000000" w:rsidP="00000000" w:rsidRDefault="00000000" w:rsidRPr="00000000" w14:paraId="000000C7">
            <w:pPr>
              <w:spacing w:after="120" w:before="12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C9">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Nghị định 353/2025/NĐ-CP &amp; Nghị định 264/2025/NĐ-CP</w:t>
            </w:r>
          </w:p>
        </w:tc>
        <w:tc>
          <w:tcPr/>
          <w:p w:rsidR="00000000" w:rsidDel="00000000" w:rsidP="00000000" w:rsidRDefault="00000000" w:rsidRPr="00000000" w14:paraId="000000CA">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 định tiêu chí nhân lực chất lượng cao trong lĩnh vực công nghệ số liên quan đến danh mục công nghệ chiến lược; ưu tiên đầu tư từ các quỹ vào dự án công nghệ chiến lược.</w:t>
            </w:r>
          </w:p>
        </w:tc>
        <w:tc>
          <w:tcPr/>
          <w:p w:rsidR="00000000" w:rsidDel="00000000" w:rsidP="00000000" w:rsidRDefault="00000000" w:rsidRPr="00000000" w14:paraId="000000C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1/1/2026</w:t>
            </w:r>
          </w:p>
          <w:p w:rsidR="00000000" w:rsidDel="00000000" w:rsidP="00000000" w:rsidRDefault="00000000" w:rsidRPr="00000000" w14:paraId="000000CC">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14/10/2025</w:t>
            </w:r>
          </w:p>
        </w:tc>
      </w:tr>
      <w:tr>
        <w:trPr>
          <w:cantSplit w:val="0"/>
          <w:tblHeader w:val="0"/>
        </w:trPr>
        <w:tc>
          <w:tcPr/>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CE">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Nghị định 265, 267 &amp; 268/2025/NĐ-CP</w:t>
            </w:r>
          </w:p>
        </w:tc>
        <w:tc>
          <w:tcPr/>
          <w:p w:rsidR="00000000" w:rsidDel="00000000" w:rsidP="00000000" w:rsidRDefault="00000000" w:rsidRPr="00000000" w14:paraId="000000CF">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Hướng dẫn chi tiết về tài chính, đầu tư, lập kế hoạch 5 năm và xác định các nhiệm vụ khoa học công nghệ phục vụ mục tiêu giải mã, phát triển công nghệ chiến lược sử dụng ngân sách nhà nước.</w:t>
            </w:r>
          </w:p>
        </w:tc>
        <w:tc>
          <w:tcPr/>
          <w:p w:rsidR="00000000" w:rsidDel="00000000" w:rsidP="00000000" w:rsidRDefault="00000000" w:rsidRPr="00000000" w14:paraId="000000D0">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14/10/2025</w:t>
            </w:r>
          </w:p>
        </w:tc>
      </w:tr>
      <w:tr>
        <w:trPr>
          <w:cantSplit w:val="0"/>
          <w:tblHeader w:val="0"/>
        </w:trPr>
        <w:tc>
          <w:tcPr/>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D2">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Nghị định 249/2025/NĐ-CP</w:t>
            </w:r>
          </w:p>
        </w:tc>
        <w:tc>
          <w:tcPr/>
          <w:p w:rsidR="00000000" w:rsidDel="00000000" w:rsidP="00000000" w:rsidRDefault="00000000" w:rsidRPr="00000000" w14:paraId="000000D3">
            <w:pPr>
              <w:spacing w:after="120"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Ưu tiên tuyển chọn chuyên gia thuộc các ngành công nghệ chiến lược vào cơ sở dữ liệu chuyên gia quốc gia.</w:t>
            </w:r>
          </w:p>
        </w:tc>
        <w:tc>
          <w:tcPr/>
          <w:p w:rsidR="00000000" w:rsidDel="00000000" w:rsidP="00000000" w:rsidRDefault="00000000" w:rsidRPr="00000000" w14:paraId="000000D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19/9/2025</w:t>
            </w:r>
          </w:p>
        </w:tc>
      </w:tr>
      <w:tr>
        <w:trPr>
          <w:cantSplit w:val="0"/>
          <w:tblHeader w:val="0"/>
        </w:trPr>
        <w:tc>
          <w:tcPr/>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D6">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D7">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D8">
            <w:pPr>
              <w:spacing w:after="120" w:before="12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DA">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DB">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DC">
            <w:pPr>
              <w:spacing w:after="120" w:before="120" w:lineRule="auto"/>
              <w:jc w:val="cente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8.00000000000006" w:lineRule="auto"/>
              <w:ind w:left="720" w:right="0" w:hanging="551"/>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DE">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DF">
            <w:pPr>
              <w:spacing w:after="120" w:before="120" w:lineRule="auto"/>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E0">
            <w:pPr>
              <w:spacing w:after="120" w:before="120" w:lineRule="auto"/>
              <w:jc w:val="cente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E1">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2">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3">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4">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5">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6">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7">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8">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9">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A">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B">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C">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D">
      <w:pPr>
        <w:spacing w:line="360" w:lineRule="auto"/>
        <w:jc w:val="left"/>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E">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Phụ lục II</w:t>
      </w:r>
    </w:p>
    <w:p w:rsidR="00000000" w:rsidDel="00000000" w:rsidP="00000000" w:rsidRDefault="00000000" w:rsidRPr="00000000" w14:paraId="000000F0">
      <w:pP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TỔNG HỢP TÌNH HÌNH TRIỂN KHAI CÔNG NGHỆ CHIẾN LƯỢC</w:t>
      </w:r>
    </w:p>
    <w:p w:rsidR="00000000" w:rsidDel="00000000" w:rsidP="00000000" w:rsidRDefault="00000000" w:rsidRPr="00000000" w14:paraId="000000F1">
      <w:pP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TẠI CÁC BỘ, NGÀNH VÀ ĐỊA PHƯƠNG</w:t>
      </w:r>
    </w:p>
    <w:p w:rsidR="00000000" w:rsidDel="00000000" w:rsidP="00000000" w:rsidRDefault="00000000" w:rsidRPr="00000000" w14:paraId="000000F2">
      <w:pPr>
        <w:spacing w:after="0" w:line="24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tbl>
      <w:tblPr>
        <w:tblStyle w:val="Table5"/>
        <w:tblW w:w="939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1481"/>
        <w:gridCol w:w="2379"/>
        <w:gridCol w:w="4043"/>
        <w:gridCol w:w="901"/>
        <w:tblGridChange w:id="0">
          <w:tblGrid>
            <w:gridCol w:w="591"/>
            <w:gridCol w:w="1481"/>
            <w:gridCol w:w="2379"/>
            <w:gridCol w:w="4043"/>
            <w:gridCol w:w="901"/>
          </w:tblGrid>
        </w:tblGridChange>
      </w:tblGrid>
      <w:tr>
        <w:trPr>
          <w:cantSplit w:val="0"/>
          <w:tblHeader w:val="0"/>
        </w:trPr>
        <w:tc>
          <w:tcPr>
            <w:shd w:fill="dae9f7" w:val="clear"/>
          </w:tcPr>
          <w:p w:rsidR="00000000" w:rsidDel="00000000" w:rsidP="00000000" w:rsidRDefault="00000000" w:rsidRPr="00000000" w14:paraId="000000F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shd w:fill="dae9f7" w:val="clear"/>
          </w:tcPr>
          <w:p w:rsidR="00000000" w:rsidDel="00000000" w:rsidP="00000000" w:rsidRDefault="00000000" w:rsidRPr="00000000" w14:paraId="000000F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Bộ, ngành, địa phương</w:t>
            </w:r>
          </w:p>
        </w:tc>
        <w:tc>
          <w:tcPr>
            <w:shd w:fill="dae9f7" w:val="clear"/>
          </w:tcPr>
          <w:p w:rsidR="00000000" w:rsidDel="00000000" w:rsidP="00000000" w:rsidRDefault="00000000" w:rsidRPr="00000000" w14:paraId="000000F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Văn bản</w:t>
            </w:r>
          </w:p>
        </w:tc>
        <w:tc>
          <w:tcPr>
            <w:shd w:fill="dae9f7" w:val="clear"/>
          </w:tcPr>
          <w:p w:rsidR="00000000" w:rsidDel="00000000" w:rsidP="00000000" w:rsidRDefault="00000000" w:rsidRPr="00000000" w14:paraId="000000F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Nội dung văn bản</w:t>
            </w:r>
          </w:p>
        </w:tc>
        <w:tc>
          <w:tcPr>
            <w:shd w:fill="dae9f7" w:val="clear"/>
          </w:tcPr>
          <w:p w:rsidR="00000000" w:rsidDel="00000000" w:rsidP="00000000" w:rsidRDefault="00000000" w:rsidRPr="00000000" w14:paraId="000000F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Ghi chú</w:t>
            </w:r>
          </w:p>
        </w:tc>
      </w:tr>
      <w:tr>
        <w:trPr>
          <w:cantSplit w:val="0"/>
          <w:tblHeader w:val="0"/>
        </w:trPr>
        <w:tc>
          <w:tcPr>
            <w:vMerge w:val="restart"/>
          </w:tcPr>
          <w:p w:rsidR="00000000" w:rsidDel="00000000" w:rsidP="00000000" w:rsidRDefault="00000000" w:rsidRPr="00000000" w14:paraId="000000F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restart"/>
          </w:tcPr>
          <w:p w:rsidR="00000000" w:rsidDel="00000000" w:rsidP="00000000" w:rsidRDefault="00000000" w:rsidRPr="00000000" w14:paraId="000000F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Nông nghiệp và Môi trường</w:t>
            </w:r>
          </w:p>
        </w:tc>
        <w:tc>
          <w:tcPr/>
          <w:p w:rsidR="00000000" w:rsidDel="00000000" w:rsidP="00000000" w:rsidRDefault="00000000" w:rsidRPr="00000000" w14:paraId="000000F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3410/QĐ-NNMT ngày 25/8/2025</w:t>
            </w:r>
          </w:p>
        </w:tc>
        <w:tc>
          <w:tcPr/>
          <w:p w:rsidR="00000000" w:rsidDel="00000000" w:rsidP="00000000" w:rsidRDefault="00000000" w:rsidRPr="00000000" w14:paraId="000000F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bố danh mục 15 bài toán lớn về khoa học, công nghệ, đổi mới sáng tạo và chuyển đổi số giai đoạn 2026-2030. Các nhiệm vụ tập trung vào phục hồi tài nguyên nước, ứng dụng AI/IoT trong giám sát nông nghiệp, môi trường, và phát triển bền vững.</w:t>
            </w:r>
          </w:p>
        </w:tc>
        <w:tc>
          <w:tcPr/>
          <w:p w:rsidR="00000000" w:rsidDel="00000000" w:rsidP="00000000" w:rsidRDefault="00000000" w:rsidRPr="00000000" w14:paraId="000000FC">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5272/QĐ-BNNMT ngày 13/12/2025 và Quyết định số 25/QĐ-BNNMT ngày 07/01/2026</w:t>
            </w:r>
          </w:p>
        </w:tc>
        <w:tc>
          <w:tcPr/>
          <w:p w:rsidR="00000000" w:rsidDel="00000000" w:rsidP="00000000" w:rsidRDefault="00000000" w:rsidRPr="00000000" w14:paraId="0000010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thí điểm và triển khai truy xuất nguồn gốc nông, lâm, thủy sản.</w:t>
            </w:r>
          </w:p>
        </w:tc>
        <w:tc>
          <w:tcPr/>
          <w:p w:rsidR="00000000" w:rsidDel="00000000" w:rsidP="00000000" w:rsidRDefault="00000000" w:rsidRPr="00000000" w14:paraId="00000101">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287/QĐ-BNNMT ngày 23/01/2026</w:t>
            </w:r>
          </w:p>
        </w:tc>
        <w:tc>
          <w:tcPr/>
          <w:p w:rsidR="00000000" w:rsidDel="00000000" w:rsidP="00000000" w:rsidRDefault="00000000" w:rsidRPr="00000000" w14:paraId="0000010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Giao 31 nhiệm vụ, chuỗi nhiệm vụ các đơn vị thuộc Bộ và các doanh nghiệp đề xuất giải pháp khoa học, công nghệ và phát triển sản phẩm CNCL.</w:t>
            </w:r>
          </w:p>
        </w:tc>
        <w:tc>
          <w:tcPr/>
          <w:p w:rsidR="00000000" w:rsidDel="00000000" w:rsidP="00000000" w:rsidRDefault="00000000" w:rsidRPr="00000000" w14:paraId="00000106">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246/QĐ-BNNMT ngày 28/01/2026</w:t>
            </w:r>
          </w:p>
        </w:tc>
        <w:tc>
          <w:tcPr/>
          <w:p w:rsidR="00000000" w:rsidDel="00000000" w:rsidP="00000000" w:rsidRDefault="00000000" w:rsidRPr="00000000" w14:paraId="0000010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Thành lập Hội đồng tư vấn cấp Bộ triển khai hoạt động khoa học công nghệ thuộc Danh mục CNCL.</w:t>
            </w:r>
          </w:p>
        </w:tc>
        <w:tc>
          <w:tcPr/>
          <w:p w:rsidR="00000000" w:rsidDel="00000000" w:rsidP="00000000" w:rsidRDefault="00000000" w:rsidRPr="00000000" w14:paraId="0000010B">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văn số 1145/BNNMT-KHCN ngày 02/02/2026</w:t>
            </w:r>
          </w:p>
        </w:tc>
        <w:tc>
          <w:tcPr/>
          <w:p w:rsidR="00000000" w:rsidDel="00000000" w:rsidP="00000000" w:rsidRDefault="00000000" w:rsidRPr="00000000" w14:paraId="0000010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Gửi tất cả 34/34 địa phương, các đơn vị thuộc Bộ và các doanh nghiệp có hoạt động trong lĩnh vực nông nghiệp và môi trường kêu gọi đề xuất và tham gia phối hợp triển khai thực hiện.</w:t>
            </w:r>
          </w:p>
        </w:tc>
        <w:tc>
          <w:tcPr/>
          <w:p w:rsidR="00000000" w:rsidDel="00000000" w:rsidP="00000000" w:rsidRDefault="00000000" w:rsidRPr="00000000" w14:paraId="00000110">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2">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Tờ trình số 884/TTr-BNNMT ngày 15/12/2025</w:t>
            </w:r>
          </w:p>
        </w:tc>
        <w:tc>
          <w:tcPr/>
          <w:p w:rsidR="00000000" w:rsidDel="00000000" w:rsidP="00000000" w:rsidRDefault="00000000" w:rsidRPr="00000000" w14:paraId="0000011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Trình Thủ tướng Chính phủ về việc xây dựng Chiến lược quốc gia về đất hiếm.</w:t>
            </w:r>
          </w:p>
        </w:tc>
        <w:tc>
          <w:tcPr/>
          <w:p w:rsidR="00000000" w:rsidDel="00000000" w:rsidP="00000000" w:rsidRDefault="00000000" w:rsidRPr="00000000" w14:paraId="00000115">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Merge w:val="restart"/>
          </w:tcPr>
          <w:p w:rsidR="00000000" w:rsidDel="00000000" w:rsidP="00000000" w:rsidRDefault="00000000" w:rsidRPr="00000000" w14:paraId="000001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Công thương</w:t>
            </w:r>
          </w:p>
        </w:tc>
        <w:tc>
          <w:tcPr/>
          <w:p w:rsidR="00000000" w:rsidDel="00000000" w:rsidP="00000000" w:rsidRDefault="00000000" w:rsidRPr="00000000" w14:paraId="000001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3104/QĐ-BCT ngày 21/10/2025</w:t>
            </w:r>
          </w:p>
        </w:tc>
        <w:tc>
          <w:tcPr/>
          <w:p w:rsidR="00000000" w:rsidDel="00000000" w:rsidP="00000000" w:rsidRDefault="00000000" w:rsidRPr="00000000" w14:paraId="00000119">
            <w:pPr>
              <w:tabs>
                <w:tab w:val="left" w:leader="none" w:pos="117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Ban hành Kế hoạch triển khai Quyết định số 1131/QĐ-TTg.</w:t>
            </w:r>
          </w:p>
        </w:tc>
        <w:tc>
          <w:tcPr/>
          <w:p w:rsidR="00000000" w:rsidDel="00000000" w:rsidP="00000000" w:rsidRDefault="00000000" w:rsidRPr="00000000" w14:paraId="0000011A">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536/QĐ-BCT ngày 27/2/2026</w:t>
            </w:r>
          </w:p>
        </w:tc>
        <w:tc>
          <w:tcPr/>
          <w:p w:rsidR="00000000" w:rsidDel="00000000" w:rsidP="00000000" w:rsidRDefault="00000000" w:rsidRPr="00000000" w14:paraId="000001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 chức đặt hàng các đơn vị xây dựng Kế hoạch đặt hàng các nhiệm vụ theo Quyết định 2815.</w:t>
            </w:r>
          </w:p>
        </w:tc>
        <w:tc>
          <w:tcPr/>
          <w:p w:rsidR="00000000" w:rsidDel="00000000" w:rsidP="00000000" w:rsidRDefault="00000000" w:rsidRPr="00000000" w14:paraId="0000011F">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restart"/>
          </w:tcPr>
          <w:p w:rsidR="00000000" w:rsidDel="00000000" w:rsidP="00000000" w:rsidRDefault="00000000" w:rsidRPr="00000000" w14:paraId="000001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Y tế</w:t>
            </w:r>
          </w:p>
        </w:tc>
        <w:tc>
          <w:tcPr/>
          <w:p w:rsidR="00000000" w:rsidDel="00000000" w:rsidP="00000000" w:rsidRDefault="00000000" w:rsidRPr="00000000" w14:paraId="000001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văn số 4369/BYT-K2ĐT ngày 08/7/2025</w:t>
            </w:r>
          </w:p>
        </w:tc>
        <w:tc>
          <w:tcPr/>
          <w:p w:rsidR="00000000" w:rsidDel="00000000" w:rsidP="00000000" w:rsidRDefault="00000000" w:rsidRPr="00000000" w14:paraId="000001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xuất nhiệm vụ KH&amp;CN để triển khai các công nghệ chiến lược (vắc xin mRNA, tế bào gốc).</w:t>
            </w:r>
          </w:p>
        </w:tc>
        <w:tc>
          <w:tcPr/>
          <w:p w:rsidR="00000000" w:rsidDel="00000000" w:rsidP="00000000" w:rsidRDefault="00000000" w:rsidRPr="00000000" w14:paraId="00000124">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tư số 50/2025/TT-BYT ngày 27/6/2025</w:t>
            </w:r>
          </w:p>
        </w:tc>
        <w:tc>
          <w:tcPr/>
          <w:p w:rsidR="00000000" w:rsidDel="00000000" w:rsidP="00000000" w:rsidRDefault="00000000" w:rsidRPr="00000000" w14:paraId="000001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định về thử thuốc trên lâm sàng phục vụ phát triển sản phẩm y tế mới.</w:t>
            </w:r>
          </w:p>
        </w:tc>
        <w:tc>
          <w:tcPr/>
          <w:p w:rsidR="00000000" w:rsidDel="00000000" w:rsidP="00000000" w:rsidRDefault="00000000" w:rsidRPr="00000000" w14:paraId="00000129">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Giáo dục và Đào tạo</w:t>
            </w:r>
          </w:p>
        </w:tc>
        <w:tc>
          <w:tcPr/>
          <w:p w:rsidR="00000000" w:rsidDel="00000000" w:rsidP="00000000" w:rsidRDefault="00000000" w:rsidRPr="00000000" w14:paraId="000001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780/KH-BGDĐT ngày 13/6/2025</w:t>
            </w:r>
          </w:p>
        </w:tc>
        <w:tc>
          <w:tcPr/>
          <w:p w:rsidR="00000000" w:rsidDel="00000000" w:rsidP="00000000" w:rsidRDefault="00000000" w:rsidRPr="00000000" w14:paraId="000001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Triển khai Đề án đào tạo nhân lực phục vụ phát triển các lĩnh vực công nghệ cao giai đoạn 2025-2035.</w:t>
            </w:r>
          </w:p>
        </w:tc>
        <w:tc>
          <w:tcPr/>
          <w:p w:rsidR="00000000" w:rsidDel="00000000" w:rsidP="00000000" w:rsidRDefault="00000000" w:rsidRPr="00000000" w14:paraId="0000012E">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vMerge w:val="restart"/>
          </w:tcPr>
          <w:p w:rsidR="00000000" w:rsidDel="00000000" w:rsidP="00000000" w:rsidRDefault="00000000" w:rsidRPr="00000000" w14:paraId="000001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Ngân hàng Nhà nước Việt Nam</w:t>
            </w:r>
          </w:p>
        </w:tc>
        <w:tc>
          <w:tcPr/>
          <w:p w:rsidR="00000000" w:rsidDel="00000000" w:rsidP="00000000" w:rsidRDefault="00000000" w:rsidRPr="00000000" w14:paraId="000001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1364/QĐ-NHNN ngày 05/03/2025</w:t>
            </w:r>
          </w:p>
        </w:tc>
        <w:tc>
          <w:tcPr/>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Ban hành Kế hoạch triển khai Nghị quyết số 57-NQ/TW và Nghị quyết số 03/NQ-CP.</w:t>
            </w:r>
          </w:p>
        </w:tc>
        <w:tc>
          <w:tcPr/>
          <w:p w:rsidR="00000000" w:rsidDel="00000000" w:rsidP="00000000" w:rsidRDefault="00000000" w:rsidRPr="00000000" w14:paraId="00000133">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2862/QĐ-NHNN ngày 22/07/2025</w:t>
            </w:r>
          </w:p>
        </w:tc>
        <w:tc>
          <w:tcPr/>
          <w:p w:rsidR="00000000" w:rsidDel="00000000" w:rsidP="00000000" w:rsidRDefault="00000000" w:rsidRPr="00000000" w14:paraId="000001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Chiến lược phát triển khoa học, công nghệ và đổi mới sáng tạo đến năm 2030.</w:t>
            </w:r>
          </w:p>
        </w:tc>
        <w:tc>
          <w:tcPr/>
          <w:p w:rsidR="00000000" w:rsidDel="00000000" w:rsidP="00000000" w:rsidRDefault="00000000" w:rsidRPr="00000000" w14:paraId="00000138">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định số 94/2025/NĐ-CP ngày 29/4/2025</w:t>
            </w:r>
          </w:p>
        </w:tc>
        <w:tc>
          <w:tcPr/>
          <w:p w:rsidR="00000000" w:rsidDel="00000000" w:rsidP="00000000" w:rsidRDefault="00000000" w:rsidRPr="00000000" w14:paraId="000001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định về Cơ chế thử nghiệm có kiểm soát (sandbox) trong lĩnh vực ngân hàng (NHNN tham mưu).</w:t>
            </w:r>
          </w:p>
        </w:tc>
        <w:tc>
          <w:tcPr/>
          <w:p w:rsidR="00000000" w:rsidDel="00000000" w:rsidP="00000000" w:rsidRDefault="00000000" w:rsidRPr="00000000" w14:paraId="0000013D">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Thành phố Hải Phòng</w:t>
            </w:r>
          </w:p>
        </w:tc>
        <w:tc>
          <w:tcPr/>
          <w:p w:rsidR="00000000" w:rsidDel="00000000" w:rsidP="00000000" w:rsidRDefault="00000000" w:rsidRPr="00000000" w14:paraId="000001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16/KH-UBND ngày 15/01/2026</w:t>
            </w:r>
          </w:p>
        </w:tc>
        <w:tc>
          <w:tcPr/>
          <w:p w:rsidR="00000000" w:rsidDel="00000000" w:rsidP="00000000" w:rsidRDefault="00000000" w:rsidRPr="00000000" w14:paraId="000001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và triển khai Lộ trình đổi mới công nghệ đối với các ngành kinh tế mũi nhọn đến năm 2035.</w:t>
            </w:r>
          </w:p>
        </w:tc>
        <w:tc>
          <w:tcPr/>
          <w:p w:rsidR="00000000" w:rsidDel="00000000" w:rsidP="00000000" w:rsidRDefault="00000000" w:rsidRPr="00000000" w14:paraId="00000142">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Bắc Ninh</w:t>
            </w:r>
          </w:p>
        </w:tc>
        <w:tc>
          <w:tcPr/>
          <w:p w:rsidR="00000000" w:rsidDel="00000000" w:rsidP="00000000" w:rsidRDefault="00000000" w:rsidRPr="00000000" w14:paraId="000001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Kế hoạch số 107, 109, 110, 111/KH-UBND tháng 10/2025</w:t>
            </w:r>
          </w:p>
        </w:tc>
        <w:tc>
          <w:tcPr/>
          <w:p w:rsidR="00000000" w:rsidDel="00000000" w:rsidP="00000000" w:rsidRDefault="00000000" w:rsidRPr="00000000" w14:paraId="000001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Thúc đẩy chuyển giao công nghệ, đổi mới công nghệ ngành mũi nhọn và phát triển thị trường KH&amp;CN.</w:t>
            </w:r>
          </w:p>
        </w:tc>
        <w:tc>
          <w:tcPr/>
          <w:p w:rsidR="00000000" w:rsidDel="00000000" w:rsidP="00000000" w:rsidRDefault="00000000" w:rsidRPr="00000000" w14:paraId="00000147">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restart"/>
          </w:tcPr>
          <w:p w:rsidR="00000000" w:rsidDel="00000000" w:rsidP="00000000" w:rsidRDefault="00000000" w:rsidRPr="00000000" w14:paraId="000001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Quảng Ninh</w:t>
            </w:r>
          </w:p>
        </w:tc>
        <w:tc>
          <w:tcPr/>
          <w:p w:rsidR="00000000" w:rsidDel="00000000" w:rsidP="00000000" w:rsidRDefault="00000000" w:rsidRPr="00000000" w14:paraId="000001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538-KH/TU ngày 19/5/2025</w:t>
            </w:r>
          </w:p>
        </w:tc>
        <w:tc>
          <w:tcPr/>
          <w:p w:rsidR="00000000" w:rsidDel="00000000" w:rsidP="00000000" w:rsidRDefault="00000000" w:rsidRPr="00000000" w14:paraId="0000014B">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Nghị quyết số 57-NQ/TW, tập trung khai thác AI, IoT, dữ liệu lớn, blockchain.</w:t>
            </w:r>
          </w:p>
        </w:tc>
        <w:tc>
          <w:tcPr/>
          <w:p w:rsidR="00000000" w:rsidDel="00000000" w:rsidP="00000000" w:rsidRDefault="00000000" w:rsidRPr="00000000" w14:paraId="0000014C">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138/KH-UBND ngày 21/5/2025</w:t>
            </w:r>
          </w:p>
        </w:tc>
        <w:tc>
          <w:tcPr/>
          <w:p w:rsidR="00000000" w:rsidDel="00000000" w:rsidP="00000000" w:rsidRDefault="00000000" w:rsidRPr="00000000" w14:paraId="00000150">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Cụ thể hóa nhiệm vụ triển khai công nghệ chiến lược trong quản lý môi trường, đô thị thông minh.</w:t>
            </w:r>
          </w:p>
        </w:tc>
        <w:tc>
          <w:tcPr/>
          <w:p w:rsidR="00000000" w:rsidDel="00000000" w:rsidP="00000000" w:rsidRDefault="00000000" w:rsidRPr="00000000" w14:paraId="00000151">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bản số 956/SKHCN-THQLKH ngày 11/3/2026</w:t>
            </w:r>
          </w:p>
        </w:tc>
        <w:tc>
          <w:tcPr/>
          <w:p w:rsidR="00000000" w:rsidDel="00000000" w:rsidP="00000000" w:rsidRDefault="00000000" w:rsidRPr="00000000" w14:paraId="00000155">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xuất, lựa chọn 03 Bài toán lớn để đặt hàng doanh nghiệp công nghệ số giải quyết năm 2026.</w:t>
            </w:r>
          </w:p>
        </w:tc>
        <w:tc>
          <w:tcPr/>
          <w:p w:rsidR="00000000" w:rsidDel="00000000" w:rsidP="00000000" w:rsidRDefault="00000000" w:rsidRPr="00000000" w14:paraId="00000156">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Thành phố Hồ Chí Minh</w:t>
            </w:r>
          </w:p>
        </w:tc>
        <w:tc>
          <w:tcPr/>
          <w:p w:rsidR="00000000" w:rsidDel="00000000" w:rsidP="00000000" w:rsidRDefault="00000000" w:rsidRPr="00000000" w14:paraId="000001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122/KH-UBND ngày 01/4/2026</w:t>
            </w:r>
          </w:p>
        </w:tc>
        <w:tc>
          <w:tcPr/>
          <w:p w:rsidR="00000000" w:rsidDel="00000000" w:rsidP="00000000" w:rsidRDefault="00000000" w:rsidRPr="00000000" w14:paraId="0000015A">
            <w:pPr>
              <w:tabs>
                <w:tab w:val="left" w:leader="none" w:pos="12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công nghệ chiến lược và sản phẩm công nghệ chiến lược trên địa bàn đến năm 2030.</w:t>
            </w:r>
          </w:p>
        </w:tc>
        <w:tc>
          <w:tcPr/>
          <w:p w:rsidR="00000000" w:rsidDel="00000000" w:rsidP="00000000" w:rsidRDefault="00000000" w:rsidRPr="00000000" w14:paraId="0000015B">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Merge w:val="restart"/>
          </w:tcPr>
          <w:p w:rsidR="00000000" w:rsidDel="00000000" w:rsidP="00000000" w:rsidRDefault="00000000" w:rsidRPr="00000000" w14:paraId="000001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Tuyên Quang</w:t>
            </w:r>
          </w:p>
        </w:tc>
        <w:tc>
          <w:tcPr/>
          <w:p w:rsidR="00000000" w:rsidDel="00000000" w:rsidP="00000000" w:rsidRDefault="00000000" w:rsidRPr="00000000" w14:paraId="000001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24-KH/TU ngày 11/8/2025</w:t>
            </w:r>
          </w:p>
        </w:tc>
        <w:tc>
          <w:tcPr/>
          <w:p w:rsidR="00000000" w:rsidDel="00000000" w:rsidP="00000000" w:rsidRDefault="00000000" w:rsidRPr="00000000" w14:paraId="0000015F">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Nghị quyết số 57-NQ/TW về đột phá phát triển KH&amp;CN, ĐMST và chuyển đổi số.</w:t>
            </w:r>
          </w:p>
        </w:tc>
        <w:tc>
          <w:tcPr/>
          <w:p w:rsidR="00000000" w:rsidDel="00000000" w:rsidP="00000000" w:rsidRDefault="00000000" w:rsidRPr="00000000" w14:paraId="00000160">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63/KH-UBND ngày 10/9/2025</w:t>
            </w:r>
          </w:p>
        </w:tc>
        <w:tc>
          <w:tcPr/>
          <w:p w:rsidR="00000000" w:rsidDel="00000000" w:rsidP="00000000" w:rsidRDefault="00000000" w:rsidRPr="00000000" w14:paraId="00000164">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Nghị quyết 71/NQ-CP và Kế hoạch 24-KH/TU triển khai Nghị quyết 57.</w:t>
            </w:r>
          </w:p>
        </w:tc>
        <w:tc>
          <w:tcPr/>
          <w:p w:rsidR="00000000" w:rsidDel="00000000" w:rsidP="00000000" w:rsidRDefault="00000000" w:rsidRPr="00000000" w14:paraId="00000165">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văn số 363/SKHCN-CN&amp;ĐMST tháng 4/2025</w:t>
            </w:r>
          </w:p>
        </w:tc>
        <w:tc>
          <w:tcPr/>
          <w:p w:rsidR="00000000" w:rsidDel="00000000" w:rsidP="00000000" w:rsidRDefault="00000000" w:rsidRPr="00000000" w14:paraId="00000169">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hợp và công bố Danh mục các bài toán lớn về KH&amp;CN, ĐMST và chuyển đổi số.</w:t>
            </w:r>
          </w:p>
        </w:tc>
        <w:tc>
          <w:tcPr/>
          <w:p w:rsidR="00000000" w:rsidDel="00000000" w:rsidP="00000000" w:rsidRDefault="00000000" w:rsidRPr="00000000" w14:paraId="0000016A">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1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Đắk Lắk</w:t>
            </w:r>
          </w:p>
        </w:tc>
        <w:tc>
          <w:tcPr/>
          <w:p w:rsidR="00000000" w:rsidDel="00000000" w:rsidP="00000000" w:rsidRDefault="00000000" w:rsidRPr="00000000" w14:paraId="000001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092/KH-UBND ngày 21/10/2025</w:t>
            </w:r>
          </w:p>
        </w:tc>
        <w:tc>
          <w:tcPr/>
          <w:p w:rsidR="00000000" w:rsidDel="00000000" w:rsidP="00000000" w:rsidRDefault="00000000" w:rsidRPr="00000000" w14:paraId="0000016E">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KH&amp;CN và ĐMST giai đoạn 2026 - 2030, ưu tiên ứng dụng AI, IoT, Blockchain.</w:t>
            </w:r>
          </w:p>
        </w:tc>
        <w:tc>
          <w:tcPr/>
          <w:p w:rsidR="00000000" w:rsidDel="00000000" w:rsidP="00000000" w:rsidRDefault="00000000" w:rsidRPr="00000000" w14:paraId="0000016F">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7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Merge w:val="restart"/>
          </w:tcPr>
          <w:p w:rsidR="00000000" w:rsidDel="00000000" w:rsidP="00000000" w:rsidRDefault="00000000" w:rsidRPr="00000000" w14:paraId="0000017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Phú Thọ</w:t>
            </w:r>
          </w:p>
        </w:tc>
        <w:tc>
          <w:tcPr/>
          <w:p w:rsidR="00000000" w:rsidDel="00000000" w:rsidP="00000000" w:rsidRDefault="00000000" w:rsidRPr="00000000" w14:paraId="000001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quyết số 62/2025/NQ-HĐND ngày 25/11/2025</w:t>
            </w:r>
          </w:p>
        </w:tc>
        <w:tc>
          <w:tcPr/>
          <w:p w:rsidR="00000000" w:rsidDel="00000000" w:rsidP="00000000" w:rsidRDefault="00000000" w:rsidRPr="00000000" w14:paraId="00000173">
            <w:pPr>
              <w:tabs>
                <w:tab w:val="left" w:leader="none" w:pos="117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định hỗ trợ doanh nghiệp nhỏ và vừa đầu tư đổi mới, hiện đại hóa công nghệ.</w:t>
            </w:r>
          </w:p>
        </w:tc>
        <w:tc>
          <w:tcPr/>
          <w:p w:rsidR="00000000" w:rsidDel="00000000" w:rsidP="00000000" w:rsidRDefault="00000000" w:rsidRPr="00000000" w14:paraId="00000174">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văn số 3059/SKHCN-CNĐMST ngày 01/12/2025</w:t>
            </w:r>
          </w:p>
        </w:tc>
        <w:tc>
          <w:tcPr/>
          <w:p w:rsidR="00000000" w:rsidDel="00000000" w:rsidP="00000000" w:rsidRDefault="00000000" w:rsidRPr="00000000" w14:paraId="00000178">
            <w:pPr>
              <w:tabs>
                <w:tab w:val="left" w:leader="none" w:pos="1307"/>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Xác định sản phẩm công nghiệp cần nội địa hóa và giao nhiệm vụ cho tập đoàn, viện chủ lực.</w:t>
            </w:r>
          </w:p>
        </w:tc>
        <w:tc>
          <w:tcPr/>
          <w:p w:rsidR="00000000" w:rsidDel="00000000" w:rsidP="00000000" w:rsidRDefault="00000000" w:rsidRPr="00000000" w14:paraId="00000179">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17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Lâm Đồng</w:t>
            </w:r>
          </w:p>
        </w:tc>
        <w:tc>
          <w:tcPr/>
          <w:p w:rsidR="00000000" w:rsidDel="00000000" w:rsidP="00000000" w:rsidRDefault="00000000" w:rsidRPr="00000000" w14:paraId="000001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3708/KH-UBND ngày 21/3/2026</w:t>
            </w:r>
          </w:p>
        </w:tc>
        <w:tc>
          <w:tcPr/>
          <w:p w:rsidR="00000000" w:rsidDel="00000000" w:rsidP="00000000" w:rsidRDefault="00000000" w:rsidRPr="00000000" w14:paraId="0000017D">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Triển khai Chương trình KH&amp;CN quốc gia phát triển sản phẩm công nghệ chiến lược ưu tiên.</w:t>
            </w:r>
          </w:p>
        </w:tc>
        <w:tc>
          <w:tcPr/>
          <w:p w:rsidR="00000000" w:rsidDel="00000000" w:rsidP="00000000" w:rsidRDefault="00000000" w:rsidRPr="00000000" w14:paraId="0000017E">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1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Điện Biên</w:t>
            </w:r>
          </w:p>
        </w:tc>
        <w:tc>
          <w:tcPr/>
          <w:p w:rsidR="00000000" w:rsidDel="00000000" w:rsidP="00000000" w:rsidRDefault="00000000" w:rsidRPr="00000000" w14:paraId="000001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định số 444/QĐ-UBND ngày 17/3/2026</w:t>
            </w:r>
          </w:p>
        </w:tc>
        <w:tc>
          <w:tcPr/>
          <w:p w:rsidR="00000000" w:rsidDel="00000000" w:rsidP="00000000" w:rsidRDefault="00000000" w:rsidRPr="00000000" w14:paraId="00000182">
            <w:pPr>
              <w:tabs>
                <w:tab w:val="left" w:leader="none" w:pos="229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bố Danh mục các bài toán lớn về KH&amp;CN, ĐMST và chuyển đổi số giải quyết trong năm 2026.</w:t>
            </w:r>
          </w:p>
        </w:tc>
        <w:tc>
          <w:tcPr/>
          <w:p w:rsidR="00000000" w:rsidDel="00000000" w:rsidP="00000000" w:rsidRDefault="00000000" w:rsidRPr="00000000" w14:paraId="00000183">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vMerge w:val="restart"/>
          </w:tcPr>
          <w:p w:rsidR="00000000" w:rsidDel="00000000" w:rsidP="00000000" w:rsidRDefault="00000000" w:rsidRPr="00000000" w14:paraId="000001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Tỉnh Quảng Ngãi</w:t>
            </w:r>
          </w:p>
        </w:tc>
        <w:tc>
          <w:tcPr/>
          <w:p w:rsidR="00000000" w:rsidDel="00000000" w:rsidP="00000000" w:rsidRDefault="00000000" w:rsidRPr="00000000" w14:paraId="000001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số 21/BC-SKHCN ngày 26/01/2026</w:t>
            </w:r>
          </w:p>
        </w:tc>
        <w:tc>
          <w:tcPr/>
          <w:p w:rsidR="00000000" w:rsidDel="00000000" w:rsidP="00000000" w:rsidRDefault="00000000" w:rsidRPr="00000000" w14:paraId="00000187">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Xác định các công nghệ lõi cần làm chủ (luyện kim, vật liệu năng lượng, tự động hóa).</w:t>
            </w:r>
          </w:p>
        </w:tc>
        <w:tc>
          <w:tcPr/>
          <w:p w:rsidR="00000000" w:rsidDel="00000000" w:rsidP="00000000" w:rsidRDefault="00000000" w:rsidRPr="00000000" w14:paraId="00000188">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 hoạch số 81/KH-UBND ngày 10/3/2026</w:t>
            </w:r>
          </w:p>
        </w:tc>
        <w:tc>
          <w:tcPr/>
          <w:p w:rsidR="00000000" w:rsidDel="00000000" w:rsidP="00000000" w:rsidRDefault="00000000" w:rsidRPr="00000000" w14:paraId="0000018C">
            <w:pPr>
              <w:tabs>
                <w:tab w:val="left" w:leader="none" w:pos="200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Triển khai Nghị quyết số 12/NQ-CP và thực hiện Kết luận số 115-KL/TW.</w:t>
            </w:r>
          </w:p>
        </w:tc>
        <w:tc>
          <w:tcPr/>
          <w:p w:rsidR="00000000" w:rsidDel="00000000" w:rsidP="00000000" w:rsidRDefault="00000000" w:rsidRPr="00000000" w14:paraId="0000018D">
            <w:pPr>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spacing w:line="36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190">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91">
      <w:pPr>
        <w:spacing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9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Phụ lục III</w:t>
      </w:r>
    </w:p>
    <w:p w:rsidR="00000000" w:rsidDel="00000000" w:rsidP="00000000" w:rsidRDefault="00000000" w:rsidRPr="00000000" w14:paraId="0000019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BẰNG SÁNG CHẾ VÀ GIẢI PHÁP HỮU ÍCH CỦA CHỦ THỂ VIỆT NAM ĐÃ ĐƯỢC CẤP TỪ NĂM 2015 ĐẾN THÁNG 04/2026 LIÊN QUAN ĐẾN 11 NHÓM CÔNG NGHỆ CHIẾN LƯỢC</w:t>
      </w:r>
    </w:p>
    <w:p w:rsidR="00000000" w:rsidDel="00000000" w:rsidP="00000000" w:rsidRDefault="00000000" w:rsidRPr="00000000" w14:paraId="00000195">
      <w:pPr>
        <w:spacing w:after="0" w:before="12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134"/>
        <w:gridCol w:w="845"/>
        <w:gridCol w:w="856"/>
        <w:gridCol w:w="811"/>
        <w:gridCol w:w="890"/>
        <w:gridCol w:w="776"/>
        <w:gridCol w:w="925"/>
        <w:gridCol w:w="742"/>
        <w:gridCol w:w="833"/>
        <w:gridCol w:w="834"/>
        <w:tblGridChange w:id="0">
          <w:tblGrid>
            <w:gridCol w:w="704"/>
            <w:gridCol w:w="1134"/>
            <w:gridCol w:w="845"/>
            <w:gridCol w:w="856"/>
            <w:gridCol w:w="811"/>
            <w:gridCol w:w="890"/>
            <w:gridCol w:w="776"/>
            <w:gridCol w:w="925"/>
            <w:gridCol w:w="742"/>
            <w:gridCol w:w="833"/>
            <w:gridCol w:w="834"/>
          </w:tblGrid>
        </w:tblGridChange>
      </w:tblGrid>
      <w:tr>
        <w:trPr>
          <w:cantSplit w:val="0"/>
          <w:trHeight w:val="567" w:hRule="atLeast"/>
          <w:tblHeader w:val="0"/>
        </w:trPr>
        <w:tc>
          <w:tcPr>
            <w:vMerge w:val="restart"/>
            <w:shd w:fill="d1d1d1" w:val="clear"/>
            <w:vAlign w:val="center"/>
          </w:tcPr>
          <w:p w:rsidR="00000000" w:rsidDel="00000000" w:rsidP="00000000" w:rsidRDefault="00000000" w:rsidRPr="00000000" w14:paraId="0000019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w:t>
            </w:r>
          </w:p>
        </w:tc>
        <w:tc>
          <w:tcPr>
            <w:vMerge w:val="restart"/>
            <w:shd w:fill="d1d1d1" w:val="clear"/>
            <w:vAlign w:val="center"/>
          </w:tcPr>
          <w:p w:rsidR="00000000" w:rsidDel="00000000" w:rsidP="00000000" w:rsidRDefault="00000000" w:rsidRPr="00000000" w14:paraId="0000019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Năm</w:t>
            </w:r>
          </w:p>
        </w:tc>
        <w:tc>
          <w:tcPr>
            <w:gridSpan w:val="2"/>
            <w:shd w:fill="d1d1d1" w:val="clear"/>
            <w:vAlign w:val="center"/>
          </w:tcPr>
          <w:p w:rsidR="00000000" w:rsidDel="00000000" w:rsidP="00000000" w:rsidRDefault="00000000" w:rsidRPr="00000000" w14:paraId="0000019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Doanh nghiệp</w:t>
            </w:r>
          </w:p>
        </w:tc>
        <w:tc>
          <w:tcPr>
            <w:gridSpan w:val="2"/>
            <w:shd w:fill="d1d1d1" w:val="clear"/>
            <w:vAlign w:val="center"/>
          </w:tcPr>
          <w:p w:rsidR="00000000" w:rsidDel="00000000" w:rsidP="00000000" w:rsidRDefault="00000000" w:rsidRPr="00000000" w14:paraId="0000019A">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Viện-Trường</w:t>
            </w:r>
          </w:p>
        </w:tc>
        <w:tc>
          <w:tcPr>
            <w:gridSpan w:val="2"/>
            <w:shd w:fill="d1d1d1" w:val="clear"/>
            <w:vAlign w:val="center"/>
          </w:tcPr>
          <w:p w:rsidR="00000000" w:rsidDel="00000000" w:rsidP="00000000" w:rsidRDefault="00000000" w:rsidRPr="00000000" w14:paraId="0000019C">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Cá nhân</w:t>
            </w:r>
          </w:p>
        </w:tc>
        <w:tc>
          <w:tcPr>
            <w:gridSpan w:val="3"/>
            <w:shd w:fill="d1d1d1" w:val="clear"/>
            <w:vAlign w:val="center"/>
          </w:tcPr>
          <w:p w:rsidR="00000000" w:rsidDel="00000000" w:rsidP="00000000" w:rsidRDefault="00000000" w:rsidRPr="00000000" w14:paraId="0000019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Tổng</w:t>
            </w:r>
          </w:p>
        </w:tc>
      </w:tr>
      <w:tr>
        <w:trPr>
          <w:cantSplit w:val="0"/>
          <w:trHeight w:val="567" w:hRule="atLeast"/>
          <w:tblHeader w:val="0"/>
        </w:trPr>
        <w:tc>
          <w:tcPr>
            <w:vMerge w:val="continue"/>
            <w:shd w:fill="d1d1d1"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shd w:fill="d1d1d1"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d1d1d1" w:val="clear"/>
            <w:vAlign w:val="center"/>
          </w:tcPr>
          <w:p w:rsidR="00000000" w:rsidDel="00000000" w:rsidP="00000000" w:rsidRDefault="00000000" w:rsidRPr="00000000" w14:paraId="000001A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w:t>
            </w:r>
          </w:p>
        </w:tc>
        <w:tc>
          <w:tcPr>
            <w:shd w:fill="d1d1d1" w:val="clear"/>
            <w:vAlign w:val="center"/>
          </w:tcPr>
          <w:p w:rsidR="00000000" w:rsidDel="00000000" w:rsidP="00000000" w:rsidRDefault="00000000" w:rsidRPr="00000000" w14:paraId="000001A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GPHI</w:t>
            </w:r>
          </w:p>
        </w:tc>
        <w:tc>
          <w:tcPr>
            <w:shd w:fill="d1d1d1" w:val="clear"/>
            <w:vAlign w:val="center"/>
          </w:tcPr>
          <w:p w:rsidR="00000000" w:rsidDel="00000000" w:rsidP="00000000" w:rsidRDefault="00000000" w:rsidRPr="00000000" w14:paraId="000001A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w:t>
            </w:r>
          </w:p>
        </w:tc>
        <w:tc>
          <w:tcPr>
            <w:shd w:fill="d1d1d1" w:val="clear"/>
            <w:vAlign w:val="center"/>
          </w:tcPr>
          <w:p w:rsidR="00000000" w:rsidDel="00000000" w:rsidP="00000000" w:rsidRDefault="00000000" w:rsidRPr="00000000" w14:paraId="000001A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GPHI</w:t>
            </w:r>
          </w:p>
        </w:tc>
        <w:tc>
          <w:tcPr>
            <w:shd w:fill="d1d1d1" w:val="clear"/>
            <w:vAlign w:val="center"/>
          </w:tcPr>
          <w:p w:rsidR="00000000" w:rsidDel="00000000" w:rsidP="00000000" w:rsidRDefault="00000000" w:rsidRPr="00000000" w14:paraId="000001A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w:t>
            </w:r>
          </w:p>
        </w:tc>
        <w:tc>
          <w:tcPr>
            <w:shd w:fill="d1d1d1" w:val="clear"/>
            <w:vAlign w:val="center"/>
          </w:tcPr>
          <w:p w:rsidR="00000000" w:rsidDel="00000000" w:rsidP="00000000" w:rsidRDefault="00000000" w:rsidRPr="00000000" w14:paraId="000001A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GPHI</w:t>
            </w:r>
          </w:p>
        </w:tc>
        <w:tc>
          <w:tcPr>
            <w:shd w:fill="d1d1d1" w:val="clear"/>
            <w:vAlign w:val="center"/>
          </w:tcPr>
          <w:p w:rsidR="00000000" w:rsidDel="00000000" w:rsidP="00000000" w:rsidRDefault="00000000" w:rsidRPr="00000000" w14:paraId="000001A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w:t>
            </w:r>
          </w:p>
        </w:tc>
        <w:tc>
          <w:tcPr>
            <w:shd w:fill="d1d1d1" w:val="clear"/>
            <w:vAlign w:val="center"/>
          </w:tcPr>
          <w:p w:rsidR="00000000" w:rsidDel="00000000" w:rsidP="00000000" w:rsidRDefault="00000000" w:rsidRPr="00000000" w14:paraId="000001AA">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GPHI</w:t>
            </w:r>
          </w:p>
        </w:tc>
        <w:tc>
          <w:tcPr>
            <w:shd w:fill="d1d1d1" w:val="clear"/>
            <w:vAlign w:val="center"/>
          </w:tcPr>
          <w:p w:rsidR="00000000" w:rsidDel="00000000" w:rsidP="00000000" w:rsidRDefault="00000000" w:rsidRPr="00000000" w14:paraId="000001A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Tổng</w:t>
            </w:r>
          </w:p>
        </w:tc>
      </w:tr>
      <w:tr>
        <w:trPr>
          <w:cantSplit w:val="0"/>
          <w:trHeight w:val="567" w:hRule="atLeast"/>
          <w:tblHeader w:val="0"/>
        </w:trPr>
        <w:tc>
          <w:tcPr>
            <w:vAlign w:val="center"/>
          </w:tcPr>
          <w:p w:rsidR="00000000" w:rsidDel="00000000" w:rsidP="00000000" w:rsidRDefault="00000000" w:rsidRPr="00000000" w14:paraId="000001A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vAlign w:val="center"/>
          </w:tcPr>
          <w:p w:rsidR="00000000" w:rsidDel="00000000" w:rsidP="00000000" w:rsidRDefault="00000000" w:rsidRPr="00000000" w14:paraId="000001A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2015</w:t>
            </w:r>
          </w:p>
        </w:tc>
        <w:tc>
          <w:tcPr>
            <w:vAlign w:val="center"/>
          </w:tcPr>
          <w:p w:rsidR="00000000" w:rsidDel="00000000" w:rsidP="00000000" w:rsidRDefault="00000000" w:rsidRPr="00000000" w14:paraId="000001A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1A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vAlign w:val="center"/>
          </w:tcPr>
          <w:p w:rsidR="00000000" w:rsidDel="00000000" w:rsidP="00000000" w:rsidRDefault="00000000" w:rsidRPr="00000000" w14:paraId="000001B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1B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B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0</w:t>
            </w:r>
            <w:r w:rsidDel="00000000" w:rsidR="00000000" w:rsidRPr="00000000">
              <w:rPr>
                <w:rtl w:val="0"/>
              </w:rPr>
            </w:r>
          </w:p>
        </w:tc>
        <w:tc>
          <w:tcPr>
            <w:vAlign w:val="center"/>
          </w:tcPr>
          <w:p w:rsidR="00000000" w:rsidDel="00000000" w:rsidP="00000000" w:rsidRDefault="00000000" w:rsidRPr="00000000" w14:paraId="000001B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B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vAlign w:val="center"/>
          </w:tcPr>
          <w:p w:rsidR="00000000" w:rsidDel="00000000" w:rsidP="00000000" w:rsidRDefault="00000000" w:rsidRPr="00000000" w14:paraId="000001B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B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B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vAlign w:val="center"/>
          </w:tcPr>
          <w:p w:rsidR="00000000" w:rsidDel="00000000" w:rsidP="00000000" w:rsidRDefault="00000000" w:rsidRPr="00000000" w14:paraId="000001B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2016</w:t>
            </w:r>
          </w:p>
        </w:tc>
        <w:tc>
          <w:tcPr>
            <w:vAlign w:val="center"/>
          </w:tcPr>
          <w:p w:rsidR="00000000" w:rsidDel="00000000" w:rsidP="00000000" w:rsidRDefault="00000000" w:rsidRPr="00000000" w14:paraId="000001B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vAlign w:val="center"/>
          </w:tcPr>
          <w:p w:rsidR="00000000" w:rsidDel="00000000" w:rsidP="00000000" w:rsidRDefault="00000000" w:rsidRPr="00000000" w14:paraId="000001B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vAlign w:val="center"/>
          </w:tcPr>
          <w:p w:rsidR="00000000" w:rsidDel="00000000" w:rsidP="00000000" w:rsidRDefault="00000000" w:rsidRPr="00000000" w14:paraId="000001B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vAlign w:val="center"/>
          </w:tcPr>
          <w:p w:rsidR="00000000" w:rsidDel="00000000" w:rsidP="00000000" w:rsidRDefault="00000000" w:rsidRPr="00000000" w14:paraId="000001B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vAlign w:val="center"/>
          </w:tcPr>
          <w:p w:rsidR="00000000" w:rsidDel="00000000" w:rsidP="00000000" w:rsidRDefault="00000000" w:rsidRPr="00000000" w14:paraId="000001B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B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B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vAlign w:val="center"/>
          </w:tcPr>
          <w:p w:rsidR="00000000" w:rsidDel="00000000" w:rsidP="00000000" w:rsidRDefault="00000000" w:rsidRPr="00000000" w14:paraId="000001C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vAlign w:val="center"/>
          </w:tcPr>
          <w:p w:rsidR="00000000" w:rsidDel="00000000" w:rsidP="00000000" w:rsidRDefault="00000000" w:rsidRPr="00000000" w14:paraId="000001C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C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1C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2017</w:t>
            </w:r>
          </w:p>
        </w:tc>
        <w:tc>
          <w:tcPr>
            <w:vAlign w:val="center"/>
          </w:tcPr>
          <w:p w:rsidR="00000000" w:rsidDel="00000000" w:rsidP="00000000" w:rsidRDefault="00000000" w:rsidRPr="00000000" w14:paraId="000001C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vAlign w:val="center"/>
          </w:tcPr>
          <w:p w:rsidR="00000000" w:rsidDel="00000000" w:rsidP="00000000" w:rsidRDefault="00000000" w:rsidRPr="00000000" w14:paraId="000001C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vAlign w:val="center"/>
          </w:tcPr>
          <w:p w:rsidR="00000000" w:rsidDel="00000000" w:rsidP="00000000" w:rsidRDefault="00000000" w:rsidRPr="00000000" w14:paraId="000001C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1C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C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C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C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vAlign w:val="center"/>
          </w:tcPr>
          <w:p w:rsidR="00000000" w:rsidDel="00000000" w:rsidP="00000000" w:rsidRDefault="00000000" w:rsidRPr="00000000" w14:paraId="000001C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vAlign w:val="center"/>
          </w:tcPr>
          <w:p w:rsidR="00000000" w:rsidDel="00000000" w:rsidP="00000000" w:rsidRDefault="00000000" w:rsidRPr="00000000" w14:paraId="000001C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C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1C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2018</w:t>
            </w:r>
          </w:p>
        </w:tc>
        <w:tc>
          <w:tcPr>
            <w:vAlign w:val="center"/>
          </w:tcPr>
          <w:p w:rsidR="00000000" w:rsidDel="00000000" w:rsidP="00000000" w:rsidRDefault="00000000" w:rsidRPr="00000000" w14:paraId="000001C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1D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1D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vAlign w:val="center"/>
          </w:tcPr>
          <w:p w:rsidR="00000000" w:rsidDel="00000000" w:rsidP="00000000" w:rsidRDefault="00000000" w:rsidRPr="00000000" w14:paraId="000001D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vAlign w:val="center"/>
          </w:tcPr>
          <w:p w:rsidR="00000000" w:rsidDel="00000000" w:rsidP="00000000" w:rsidRDefault="00000000" w:rsidRPr="00000000" w14:paraId="000001D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D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0</w:t>
            </w:r>
            <w:r w:rsidDel="00000000" w:rsidR="00000000" w:rsidRPr="00000000">
              <w:rPr>
                <w:rtl w:val="0"/>
              </w:rPr>
            </w:r>
          </w:p>
        </w:tc>
        <w:tc>
          <w:tcPr>
            <w:vAlign w:val="center"/>
          </w:tcPr>
          <w:p w:rsidR="00000000" w:rsidDel="00000000" w:rsidP="00000000" w:rsidRDefault="00000000" w:rsidRPr="00000000" w14:paraId="000001D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vAlign w:val="center"/>
          </w:tcPr>
          <w:p w:rsidR="00000000" w:rsidDel="00000000" w:rsidP="00000000" w:rsidRDefault="00000000" w:rsidRPr="00000000" w14:paraId="000001D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vAlign w:val="center"/>
          </w:tcPr>
          <w:p w:rsidR="00000000" w:rsidDel="00000000" w:rsidP="00000000" w:rsidRDefault="00000000" w:rsidRPr="00000000" w14:paraId="000001D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D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vAlign w:val="center"/>
          </w:tcPr>
          <w:p w:rsidR="00000000" w:rsidDel="00000000" w:rsidP="00000000" w:rsidRDefault="00000000" w:rsidRPr="00000000" w14:paraId="000001D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2019</w:t>
            </w:r>
          </w:p>
        </w:tc>
        <w:tc>
          <w:tcPr>
            <w:vAlign w:val="center"/>
          </w:tcPr>
          <w:p w:rsidR="00000000" w:rsidDel="00000000" w:rsidP="00000000" w:rsidRDefault="00000000" w:rsidRPr="00000000" w14:paraId="000001D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1D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1D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vAlign w:val="center"/>
          </w:tcPr>
          <w:p w:rsidR="00000000" w:rsidDel="00000000" w:rsidP="00000000" w:rsidRDefault="00000000" w:rsidRPr="00000000" w14:paraId="000001D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vAlign w:val="center"/>
          </w:tcPr>
          <w:p w:rsidR="00000000" w:rsidDel="00000000" w:rsidP="00000000" w:rsidRDefault="00000000" w:rsidRPr="00000000" w14:paraId="000001D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vAlign w:val="center"/>
          </w:tcPr>
          <w:p w:rsidR="00000000" w:rsidDel="00000000" w:rsidP="00000000" w:rsidRDefault="00000000" w:rsidRPr="00000000" w14:paraId="000001D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vAlign w:val="center"/>
          </w:tcPr>
          <w:p w:rsidR="00000000" w:rsidDel="00000000" w:rsidP="00000000" w:rsidRDefault="00000000" w:rsidRPr="00000000" w14:paraId="000001E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vAlign w:val="center"/>
          </w:tcPr>
          <w:p w:rsidR="00000000" w:rsidDel="00000000" w:rsidP="00000000" w:rsidRDefault="00000000" w:rsidRPr="00000000" w14:paraId="000001E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27</w:t>
            </w:r>
            <w:r w:rsidDel="00000000" w:rsidR="00000000" w:rsidRPr="00000000">
              <w:rPr>
                <w:rtl w:val="0"/>
              </w:rPr>
            </w:r>
          </w:p>
        </w:tc>
        <w:tc>
          <w:tcPr>
            <w:vAlign w:val="center"/>
          </w:tcPr>
          <w:p w:rsidR="00000000" w:rsidDel="00000000" w:rsidP="00000000" w:rsidRDefault="00000000" w:rsidRPr="00000000" w14:paraId="000001E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45</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E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1E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2020</w:t>
            </w:r>
          </w:p>
        </w:tc>
        <w:tc>
          <w:tcPr>
            <w:vAlign w:val="center"/>
          </w:tcPr>
          <w:p w:rsidR="00000000" w:rsidDel="00000000" w:rsidP="00000000" w:rsidRDefault="00000000" w:rsidRPr="00000000" w14:paraId="000001E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vAlign w:val="center"/>
          </w:tcPr>
          <w:p w:rsidR="00000000" w:rsidDel="00000000" w:rsidP="00000000" w:rsidRDefault="00000000" w:rsidRPr="00000000" w14:paraId="000001E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1E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1E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vAlign w:val="center"/>
          </w:tcPr>
          <w:p w:rsidR="00000000" w:rsidDel="00000000" w:rsidP="00000000" w:rsidRDefault="00000000" w:rsidRPr="00000000" w14:paraId="000001E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E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vAlign w:val="center"/>
          </w:tcPr>
          <w:p w:rsidR="00000000" w:rsidDel="00000000" w:rsidP="00000000" w:rsidRDefault="00000000" w:rsidRPr="00000000" w14:paraId="000001E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vAlign w:val="center"/>
          </w:tcPr>
          <w:p w:rsidR="00000000" w:rsidDel="00000000" w:rsidP="00000000" w:rsidRDefault="00000000" w:rsidRPr="00000000" w14:paraId="000001E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vAlign w:val="center"/>
          </w:tcPr>
          <w:p w:rsidR="00000000" w:rsidDel="00000000" w:rsidP="00000000" w:rsidRDefault="00000000" w:rsidRPr="00000000" w14:paraId="000001E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39</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E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vAlign w:val="center"/>
          </w:tcPr>
          <w:p w:rsidR="00000000" w:rsidDel="00000000" w:rsidP="00000000" w:rsidRDefault="00000000" w:rsidRPr="00000000" w14:paraId="000001E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2021</w:t>
            </w:r>
          </w:p>
        </w:tc>
        <w:tc>
          <w:tcPr>
            <w:vAlign w:val="center"/>
          </w:tcPr>
          <w:p w:rsidR="00000000" w:rsidDel="00000000" w:rsidP="00000000" w:rsidRDefault="00000000" w:rsidRPr="00000000" w14:paraId="000001F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vAlign w:val="center"/>
          </w:tcPr>
          <w:p w:rsidR="00000000" w:rsidDel="00000000" w:rsidP="00000000" w:rsidRDefault="00000000" w:rsidRPr="00000000" w14:paraId="000001F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1F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1F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vAlign w:val="center"/>
          </w:tcPr>
          <w:p w:rsidR="00000000" w:rsidDel="00000000" w:rsidP="00000000" w:rsidRDefault="00000000" w:rsidRPr="00000000" w14:paraId="000001F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0</w:t>
            </w:r>
            <w:r w:rsidDel="00000000" w:rsidR="00000000" w:rsidRPr="00000000">
              <w:rPr>
                <w:rtl w:val="0"/>
              </w:rPr>
            </w:r>
          </w:p>
        </w:tc>
        <w:tc>
          <w:tcPr>
            <w:vAlign w:val="center"/>
          </w:tcPr>
          <w:p w:rsidR="00000000" w:rsidDel="00000000" w:rsidP="00000000" w:rsidRDefault="00000000" w:rsidRPr="00000000" w14:paraId="000001F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vAlign w:val="center"/>
          </w:tcPr>
          <w:p w:rsidR="00000000" w:rsidDel="00000000" w:rsidP="00000000" w:rsidRDefault="00000000" w:rsidRPr="00000000" w14:paraId="000001F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vAlign w:val="center"/>
          </w:tcPr>
          <w:p w:rsidR="00000000" w:rsidDel="00000000" w:rsidP="00000000" w:rsidRDefault="00000000" w:rsidRPr="00000000" w14:paraId="000001F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vAlign w:val="center"/>
          </w:tcPr>
          <w:p w:rsidR="00000000" w:rsidDel="00000000" w:rsidP="00000000" w:rsidRDefault="00000000" w:rsidRPr="00000000" w14:paraId="000001F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28</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F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vAlign w:val="center"/>
          </w:tcPr>
          <w:p w:rsidR="00000000" w:rsidDel="00000000" w:rsidP="00000000" w:rsidRDefault="00000000" w:rsidRPr="00000000" w14:paraId="000001F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2022</w:t>
            </w:r>
          </w:p>
        </w:tc>
        <w:tc>
          <w:tcPr>
            <w:vAlign w:val="center"/>
          </w:tcPr>
          <w:p w:rsidR="00000000" w:rsidDel="00000000" w:rsidP="00000000" w:rsidRDefault="00000000" w:rsidRPr="00000000" w14:paraId="000001F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vAlign w:val="center"/>
          </w:tcPr>
          <w:p w:rsidR="00000000" w:rsidDel="00000000" w:rsidP="00000000" w:rsidRDefault="00000000" w:rsidRPr="00000000" w14:paraId="000001F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vAlign w:val="center"/>
          </w:tcPr>
          <w:p w:rsidR="00000000" w:rsidDel="00000000" w:rsidP="00000000" w:rsidRDefault="00000000" w:rsidRPr="00000000" w14:paraId="000001F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1F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vAlign w:val="center"/>
          </w:tcPr>
          <w:p w:rsidR="00000000" w:rsidDel="00000000" w:rsidP="00000000" w:rsidRDefault="00000000" w:rsidRPr="00000000" w14:paraId="000001F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vAlign w:val="center"/>
          </w:tcPr>
          <w:p w:rsidR="00000000" w:rsidDel="00000000" w:rsidP="00000000" w:rsidRDefault="00000000" w:rsidRPr="00000000" w14:paraId="0000020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vAlign w:val="center"/>
          </w:tcPr>
          <w:p w:rsidR="00000000" w:rsidDel="00000000" w:rsidP="00000000" w:rsidRDefault="00000000" w:rsidRPr="00000000" w14:paraId="0000020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30</w:t>
            </w:r>
            <w:r w:rsidDel="00000000" w:rsidR="00000000" w:rsidRPr="00000000">
              <w:rPr>
                <w:rtl w:val="0"/>
              </w:rPr>
            </w:r>
          </w:p>
        </w:tc>
        <w:tc>
          <w:tcPr>
            <w:vAlign w:val="center"/>
          </w:tcPr>
          <w:p w:rsidR="00000000" w:rsidDel="00000000" w:rsidP="00000000" w:rsidRDefault="00000000" w:rsidRPr="00000000" w14:paraId="0000020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24</w:t>
            </w:r>
            <w:r w:rsidDel="00000000" w:rsidR="00000000" w:rsidRPr="00000000">
              <w:rPr>
                <w:rtl w:val="0"/>
              </w:rPr>
            </w:r>
          </w:p>
        </w:tc>
        <w:tc>
          <w:tcPr>
            <w:vAlign w:val="center"/>
          </w:tcPr>
          <w:p w:rsidR="00000000" w:rsidDel="00000000" w:rsidP="00000000" w:rsidRDefault="00000000" w:rsidRPr="00000000" w14:paraId="0000020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54</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0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vAlign w:val="center"/>
          </w:tcPr>
          <w:p w:rsidR="00000000" w:rsidDel="00000000" w:rsidP="00000000" w:rsidRDefault="00000000" w:rsidRPr="00000000" w14:paraId="0000020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2023</w:t>
            </w:r>
          </w:p>
        </w:tc>
        <w:tc>
          <w:tcPr>
            <w:vAlign w:val="center"/>
          </w:tcPr>
          <w:p w:rsidR="00000000" w:rsidDel="00000000" w:rsidP="00000000" w:rsidRDefault="00000000" w:rsidRPr="00000000" w14:paraId="0000020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vAlign w:val="center"/>
          </w:tcPr>
          <w:p w:rsidR="00000000" w:rsidDel="00000000" w:rsidP="00000000" w:rsidRDefault="00000000" w:rsidRPr="00000000" w14:paraId="0000020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vAlign w:val="center"/>
          </w:tcPr>
          <w:p w:rsidR="00000000" w:rsidDel="00000000" w:rsidP="00000000" w:rsidRDefault="00000000" w:rsidRPr="00000000" w14:paraId="0000020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vAlign w:val="center"/>
          </w:tcPr>
          <w:p w:rsidR="00000000" w:rsidDel="00000000" w:rsidP="00000000" w:rsidRDefault="00000000" w:rsidRPr="00000000" w14:paraId="0000020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vAlign w:val="center"/>
          </w:tcPr>
          <w:p w:rsidR="00000000" w:rsidDel="00000000" w:rsidP="00000000" w:rsidRDefault="00000000" w:rsidRPr="00000000" w14:paraId="0000020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vAlign w:val="center"/>
          </w:tcPr>
          <w:p w:rsidR="00000000" w:rsidDel="00000000" w:rsidP="00000000" w:rsidRDefault="00000000" w:rsidRPr="00000000" w14:paraId="0000020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vAlign w:val="center"/>
          </w:tcPr>
          <w:p w:rsidR="00000000" w:rsidDel="00000000" w:rsidP="00000000" w:rsidRDefault="00000000" w:rsidRPr="00000000" w14:paraId="0000020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70</w:t>
            </w:r>
            <w:r w:rsidDel="00000000" w:rsidR="00000000" w:rsidRPr="00000000">
              <w:rPr>
                <w:rtl w:val="0"/>
              </w:rPr>
            </w:r>
          </w:p>
        </w:tc>
        <w:tc>
          <w:tcPr>
            <w:vAlign w:val="center"/>
          </w:tcPr>
          <w:p w:rsidR="00000000" w:rsidDel="00000000" w:rsidP="00000000" w:rsidRDefault="00000000" w:rsidRPr="00000000" w14:paraId="0000020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39</w:t>
            </w:r>
            <w:r w:rsidDel="00000000" w:rsidR="00000000" w:rsidRPr="00000000">
              <w:rPr>
                <w:rtl w:val="0"/>
              </w:rPr>
            </w:r>
          </w:p>
        </w:tc>
        <w:tc>
          <w:tcPr>
            <w:vAlign w:val="center"/>
          </w:tcPr>
          <w:p w:rsidR="00000000" w:rsidDel="00000000" w:rsidP="00000000" w:rsidRDefault="00000000" w:rsidRPr="00000000" w14:paraId="0000020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109</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0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vAlign w:val="center"/>
          </w:tcPr>
          <w:p w:rsidR="00000000" w:rsidDel="00000000" w:rsidP="00000000" w:rsidRDefault="00000000" w:rsidRPr="00000000" w14:paraId="0000021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2024</w:t>
            </w:r>
          </w:p>
        </w:tc>
        <w:tc>
          <w:tcPr>
            <w:vAlign w:val="center"/>
          </w:tcPr>
          <w:p w:rsidR="00000000" w:rsidDel="00000000" w:rsidP="00000000" w:rsidRDefault="00000000" w:rsidRPr="00000000" w14:paraId="0000021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vAlign w:val="center"/>
          </w:tcPr>
          <w:p w:rsidR="00000000" w:rsidDel="00000000" w:rsidP="00000000" w:rsidRDefault="00000000" w:rsidRPr="00000000" w14:paraId="0000021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vAlign w:val="center"/>
          </w:tcPr>
          <w:p w:rsidR="00000000" w:rsidDel="00000000" w:rsidP="00000000" w:rsidRDefault="00000000" w:rsidRPr="00000000" w14:paraId="0000021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vAlign w:val="center"/>
          </w:tcPr>
          <w:p w:rsidR="00000000" w:rsidDel="00000000" w:rsidP="00000000" w:rsidRDefault="00000000" w:rsidRPr="00000000" w14:paraId="0000021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vAlign w:val="center"/>
          </w:tcPr>
          <w:p w:rsidR="00000000" w:rsidDel="00000000" w:rsidP="00000000" w:rsidRDefault="00000000" w:rsidRPr="00000000" w14:paraId="0000021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vAlign w:val="center"/>
          </w:tcPr>
          <w:p w:rsidR="00000000" w:rsidDel="00000000" w:rsidP="00000000" w:rsidRDefault="00000000" w:rsidRPr="00000000" w14:paraId="0000021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vAlign w:val="center"/>
          </w:tcPr>
          <w:p w:rsidR="00000000" w:rsidDel="00000000" w:rsidP="00000000" w:rsidRDefault="00000000" w:rsidRPr="00000000" w14:paraId="0000021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87</w:t>
            </w:r>
            <w:r w:rsidDel="00000000" w:rsidR="00000000" w:rsidRPr="00000000">
              <w:rPr>
                <w:rtl w:val="0"/>
              </w:rPr>
            </w:r>
          </w:p>
        </w:tc>
        <w:tc>
          <w:tcPr>
            <w:vAlign w:val="center"/>
          </w:tcPr>
          <w:p w:rsidR="00000000" w:rsidDel="00000000" w:rsidP="00000000" w:rsidRDefault="00000000" w:rsidRPr="00000000" w14:paraId="0000021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50</w:t>
            </w:r>
            <w:r w:rsidDel="00000000" w:rsidR="00000000" w:rsidRPr="00000000">
              <w:rPr>
                <w:rtl w:val="0"/>
              </w:rPr>
            </w:r>
          </w:p>
        </w:tc>
        <w:tc>
          <w:tcPr>
            <w:vAlign w:val="center"/>
          </w:tcPr>
          <w:p w:rsidR="00000000" w:rsidDel="00000000" w:rsidP="00000000" w:rsidRDefault="00000000" w:rsidRPr="00000000" w14:paraId="0000021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137</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1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vAlign w:val="center"/>
          </w:tcPr>
          <w:p w:rsidR="00000000" w:rsidDel="00000000" w:rsidP="00000000" w:rsidRDefault="00000000" w:rsidRPr="00000000" w14:paraId="0000021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2025</w:t>
            </w:r>
          </w:p>
        </w:tc>
        <w:tc>
          <w:tcPr>
            <w:vAlign w:val="center"/>
          </w:tcPr>
          <w:p w:rsidR="00000000" w:rsidDel="00000000" w:rsidP="00000000" w:rsidRDefault="00000000" w:rsidRPr="00000000" w14:paraId="0000021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vAlign w:val="center"/>
          </w:tcPr>
          <w:p w:rsidR="00000000" w:rsidDel="00000000" w:rsidP="00000000" w:rsidRDefault="00000000" w:rsidRPr="00000000" w14:paraId="0000021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vAlign w:val="center"/>
          </w:tcPr>
          <w:p w:rsidR="00000000" w:rsidDel="00000000" w:rsidP="00000000" w:rsidRDefault="00000000" w:rsidRPr="00000000" w14:paraId="0000021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vAlign w:val="center"/>
          </w:tcPr>
          <w:p w:rsidR="00000000" w:rsidDel="00000000" w:rsidP="00000000" w:rsidRDefault="00000000" w:rsidRPr="00000000" w14:paraId="0000021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vAlign w:val="center"/>
          </w:tcPr>
          <w:p w:rsidR="00000000" w:rsidDel="00000000" w:rsidP="00000000" w:rsidRDefault="00000000" w:rsidRPr="00000000" w14:paraId="0000022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22</w:t>
            </w:r>
            <w:r w:rsidDel="00000000" w:rsidR="00000000" w:rsidRPr="00000000">
              <w:rPr>
                <w:rtl w:val="0"/>
              </w:rPr>
            </w:r>
          </w:p>
        </w:tc>
        <w:tc>
          <w:tcPr>
            <w:vAlign w:val="center"/>
          </w:tcPr>
          <w:p w:rsidR="00000000" w:rsidDel="00000000" w:rsidP="00000000" w:rsidRDefault="00000000" w:rsidRPr="00000000" w14:paraId="0000022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vAlign w:val="center"/>
          </w:tcPr>
          <w:p w:rsidR="00000000" w:rsidDel="00000000" w:rsidP="00000000" w:rsidRDefault="00000000" w:rsidRPr="00000000" w14:paraId="0000022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229</w:t>
            </w:r>
            <w:r w:rsidDel="00000000" w:rsidR="00000000" w:rsidRPr="00000000">
              <w:rPr>
                <w:rtl w:val="0"/>
              </w:rPr>
            </w:r>
          </w:p>
        </w:tc>
        <w:tc>
          <w:tcPr>
            <w:vAlign w:val="center"/>
          </w:tcPr>
          <w:p w:rsidR="00000000" w:rsidDel="00000000" w:rsidP="00000000" w:rsidRDefault="00000000" w:rsidRPr="00000000" w14:paraId="0000022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64</w:t>
            </w:r>
            <w:r w:rsidDel="00000000" w:rsidR="00000000" w:rsidRPr="00000000">
              <w:rPr>
                <w:rtl w:val="0"/>
              </w:rPr>
            </w:r>
          </w:p>
        </w:tc>
        <w:tc>
          <w:tcPr>
            <w:vAlign w:val="center"/>
          </w:tcPr>
          <w:p w:rsidR="00000000" w:rsidDel="00000000" w:rsidP="00000000" w:rsidRDefault="00000000" w:rsidRPr="00000000" w14:paraId="0000022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293</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2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vAlign w:val="center"/>
          </w:tcPr>
          <w:p w:rsidR="00000000" w:rsidDel="00000000" w:rsidP="00000000" w:rsidRDefault="00000000" w:rsidRPr="00000000" w14:paraId="0000022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2026</w:t>
            </w:r>
          </w:p>
        </w:tc>
        <w:tc>
          <w:tcPr/>
          <w:p w:rsidR="00000000" w:rsidDel="00000000" w:rsidP="00000000" w:rsidRDefault="00000000" w:rsidRPr="00000000" w14:paraId="00000227">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p w:rsidR="00000000" w:rsidDel="00000000" w:rsidP="00000000" w:rsidRDefault="00000000" w:rsidRPr="00000000" w14:paraId="00000228">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229">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p w:rsidR="00000000" w:rsidDel="00000000" w:rsidP="00000000" w:rsidRDefault="00000000" w:rsidRPr="00000000" w14:paraId="0000022A">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p w:rsidR="00000000" w:rsidDel="00000000" w:rsidP="00000000" w:rsidRDefault="00000000" w:rsidRPr="00000000" w14:paraId="0000022B">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22C">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p w:rsidR="00000000" w:rsidDel="00000000" w:rsidP="00000000" w:rsidRDefault="00000000" w:rsidRPr="00000000" w14:paraId="0000022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p w:rsidR="00000000" w:rsidDel="00000000" w:rsidP="00000000" w:rsidRDefault="00000000" w:rsidRPr="00000000" w14:paraId="0000022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p w:rsidR="00000000" w:rsidDel="00000000" w:rsidP="00000000" w:rsidRDefault="00000000" w:rsidRPr="00000000" w14:paraId="0000022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rHeight w:val="567" w:hRule="atLeast"/>
          <w:tblHeader w:val="0"/>
        </w:trPr>
        <w:tc>
          <w:tcPr>
            <w:gridSpan w:val="2"/>
            <w:vAlign w:val="center"/>
          </w:tcPr>
          <w:p w:rsidR="00000000" w:rsidDel="00000000" w:rsidP="00000000" w:rsidRDefault="00000000" w:rsidRPr="00000000" w14:paraId="00000230">
            <w:pPr>
              <w:spacing w:line="360" w:lineRule="auto"/>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Tổng số:</w:t>
            </w:r>
          </w:p>
        </w:tc>
        <w:tc>
          <w:tcPr>
            <w:vAlign w:val="center"/>
          </w:tcPr>
          <w:p w:rsidR="00000000" w:rsidDel="00000000" w:rsidP="00000000" w:rsidRDefault="00000000" w:rsidRPr="00000000" w14:paraId="00000232">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324</w:t>
            </w:r>
          </w:p>
        </w:tc>
        <w:tc>
          <w:tcPr>
            <w:vAlign w:val="center"/>
          </w:tcPr>
          <w:p w:rsidR="00000000" w:rsidDel="00000000" w:rsidP="00000000" w:rsidRDefault="00000000" w:rsidRPr="00000000" w14:paraId="00000233">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105</w:t>
            </w:r>
          </w:p>
        </w:tc>
        <w:tc>
          <w:tcPr>
            <w:vAlign w:val="center"/>
          </w:tcPr>
          <w:p w:rsidR="00000000" w:rsidDel="00000000" w:rsidP="00000000" w:rsidRDefault="00000000" w:rsidRPr="00000000" w14:paraId="00000234">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166</w:t>
            </w:r>
          </w:p>
        </w:tc>
        <w:tc>
          <w:tcPr>
            <w:vAlign w:val="center"/>
          </w:tcPr>
          <w:p w:rsidR="00000000" w:rsidDel="00000000" w:rsidP="00000000" w:rsidRDefault="00000000" w:rsidRPr="00000000" w14:paraId="00000235">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121</w:t>
            </w:r>
          </w:p>
        </w:tc>
        <w:tc>
          <w:tcPr>
            <w:vAlign w:val="center"/>
          </w:tcPr>
          <w:p w:rsidR="00000000" w:rsidDel="00000000" w:rsidP="00000000" w:rsidRDefault="00000000" w:rsidRPr="00000000" w14:paraId="00000236">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71</w:t>
            </w:r>
          </w:p>
        </w:tc>
        <w:tc>
          <w:tcPr>
            <w:vAlign w:val="center"/>
          </w:tcPr>
          <w:p w:rsidR="00000000" w:rsidDel="00000000" w:rsidP="00000000" w:rsidRDefault="00000000" w:rsidRPr="00000000" w14:paraId="00000237">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78</w:t>
            </w:r>
          </w:p>
        </w:tc>
        <w:tc>
          <w:tcPr>
            <w:vAlign w:val="center"/>
          </w:tcPr>
          <w:p w:rsidR="00000000" w:rsidDel="00000000" w:rsidP="00000000" w:rsidRDefault="00000000" w:rsidRPr="00000000" w14:paraId="00000238">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561</w:t>
            </w:r>
          </w:p>
        </w:tc>
        <w:tc>
          <w:tcPr>
            <w:vAlign w:val="center"/>
          </w:tcPr>
          <w:p w:rsidR="00000000" w:rsidDel="00000000" w:rsidP="00000000" w:rsidRDefault="00000000" w:rsidRPr="00000000" w14:paraId="00000239">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304</w:t>
            </w:r>
          </w:p>
        </w:tc>
        <w:tc>
          <w:tcPr>
            <w:vAlign w:val="center"/>
          </w:tcPr>
          <w:p w:rsidR="00000000" w:rsidDel="00000000" w:rsidP="00000000" w:rsidRDefault="00000000" w:rsidRPr="00000000" w14:paraId="0000023A">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865</w:t>
            </w:r>
          </w:p>
        </w:tc>
      </w:tr>
    </w:tbl>
    <w:p w:rsidR="00000000" w:rsidDel="00000000" w:rsidP="00000000" w:rsidRDefault="00000000" w:rsidRPr="00000000" w14:paraId="0000023B">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Phụ lục IV</w:t>
      </w:r>
      <w:r w:rsidDel="00000000" w:rsidR="00000000" w:rsidRPr="00000000">
        <w:rPr>
          <w:rtl w:val="0"/>
        </w:rPr>
      </w:r>
    </w:p>
    <w:p w:rsidR="00000000" w:rsidDel="00000000" w:rsidP="00000000" w:rsidRDefault="00000000" w:rsidRPr="00000000" w14:paraId="0000023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BÁO CÁO TỔNG HỢP SỐ LƯỢNG TIÊU CHUẨN THEO NHÓM CÔNG NGHỆ CHIẾN LƯỢC VÀ TIÊU CHUẨN PHỤC VỤ DỰ ÁN TRỌNG ĐIỂM QUỐC GIA</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
        <w:gridCol w:w="3501"/>
        <w:gridCol w:w="1843"/>
        <w:gridCol w:w="1629"/>
        <w:gridCol w:w="1630"/>
        <w:tblGridChange w:id="0">
          <w:tblGrid>
            <w:gridCol w:w="747"/>
            <w:gridCol w:w="3501"/>
            <w:gridCol w:w="1843"/>
            <w:gridCol w:w="1629"/>
            <w:gridCol w:w="1630"/>
          </w:tblGrid>
        </w:tblGridChange>
      </w:tblGrid>
      <w:tr>
        <w:trPr>
          <w:cantSplit w:val="0"/>
          <w:tblHeader w:val="0"/>
        </w:trPr>
        <w:tc>
          <w:tcPr>
            <w:vMerge w:val="restart"/>
            <w:shd w:fill="d1d1d1" w:val="clear"/>
            <w:vAlign w:val="center"/>
          </w:tcPr>
          <w:p w:rsidR="00000000" w:rsidDel="00000000" w:rsidP="00000000" w:rsidRDefault="00000000" w:rsidRPr="00000000" w14:paraId="0000023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STT</w:t>
            </w:r>
          </w:p>
        </w:tc>
        <w:tc>
          <w:tcPr>
            <w:vMerge w:val="restart"/>
            <w:shd w:fill="d1d1d1" w:val="clear"/>
            <w:vAlign w:val="center"/>
          </w:tcPr>
          <w:p w:rsidR="00000000" w:rsidDel="00000000" w:rsidP="00000000" w:rsidRDefault="00000000" w:rsidRPr="00000000" w14:paraId="0000023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Đối tượng</w:t>
            </w:r>
          </w:p>
        </w:tc>
        <w:tc>
          <w:tcPr>
            <w:vMerge w:val="restart"/>
            <w:shd w:fill="d1d1d1" w:val="clear"/>
            <w:vAlign w:val="center"/>
          </w:tcPr>
          <w:p w:rsidR="00000000" w:rsidDel="00000000" w:rsidP="00000000" w:rsidRDefault="00000000" w:rsidRPr="00000000" w14:paraId="0000024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lượng Tiêu chuẩn</w:t>
            </w:r>
          </w:p>
        </w:tc>
        <w:tc>
          <w:tcPr>
            <w:gridSpan w:val="2"/>
            <w:shd w:fill="d1d1d1" w:val="clear"/>
            <w:vAlign w:val="center"/>
          </w:tcPr>
          <w:p w:rsidR="00000000" w:rsidDel="00000000" w:rsidP="00000000" w:rsidRDefault="00000000" w:rsidRPr="00000000" w14:paraId="0000024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 tiết</w:t>
            </w:r>
          </w:p>
        </w:tc>
      </w:tr>
      <w:tr>
        <w:trPr>
          <w:cantSplit w:val="0"/>
          <w:tblHeader w:val="0"/>
        </w:trPr>
        <w:tc>
          <w:tcPr>
            <w:vMerge w:val="continue"/>
            <w:shd w:fill="d1d1d1" w:val="cle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shd w:fill="d1d1d1" w:val="cle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shd w:fill="d1d1d1"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d1d1d1" w:val="clear"/>
            <w:vAlign w:val="center"/>
          </w:tcPr>
          <w:p w:rsidR="00000000" w:rsidDel="00000000" w:rsidP="00000000" w:rsidRDefault="00000000" w:rsidRPr="00000000" w14:paraId="0000024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TCVN</w:t>
            </w:r>
          </w:p>
        </w:tc>
        <w:tc>
          <w:tcPr>
            <w:shd w:fill="d1d1d1" w:val="clear"/>
            <w:vAlign w:val="center"/>
          </w:tcPr>
          <w:p w:rsidR="00000000" w:rsidDel="00000000" w:rsidP="00000000" w:rsidRDefault="00000000" w:rsidRPr="00000000" w14:paraId="0000024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TCQT, TCKV, TCNN</w:t>
            </w:r>
          </w:p>
        </w:tc>
      </w:tr>
      <w:tr>
        <w:trPr>
          <w:cantSplit w:val="0"/>
          <w:trHeight w:val="655" w:hRule="atLeast"/>
          <w:tblHeader w:val="0"/>
        </w:trPr>
        <w:tc>
          <w:tcPr>
            <w:gridSpan w:val="5"/>
            <w:vAlign w:val="center"/>
          </w:tcPr>
          <w:p w:rsidR="00000000" w:rsidDel="00000000" w:rsidP="00000000" w:rsidRDefault="00000000" w:rsidRPr="00000000" w14:paraId="00000248">
            <w:pPr>
              <w:spacing w:line="36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Nhóm 11 Công nghệ chiến lược</w:t>
            </w:r>
          </w:p>
        </w:tc>
      </w:tr>
      <w:tr>
        <w:trPr>
          <w:cantSplit w:val="0"/>
          <w:trHeight w:val="966" w:hRule="atLeast"/>
          <w:tblHeader w:val="0"/>
        </w:trPr>
        <w:tc>
          <w:tcPr>
            <w:vAlign w:val="center"/>
          </w:tcPr>
          <w:p w:rsidR="00000000" w:rsidDel="00000000" w:rsidP="00000000" w:rsidRDefault="00000000" w:rsidRPr="00000000" w14:paraId="0000024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E">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Trí tuệ nhân tạo, bản sao số, thực tế ảo/thực tế tăng cường</w:t>
            </w:r>
          </w:p>
        </w:tc>
        <w:tc>
          <w:tcPr>
            <w:vAlign w:val="center"/>
          </w:tcPr>
          <w:p w:rsidR="00000000" w:rsidDel="00000000" w:rsidP="00000000" w:rsidRDefault="00000000" w:rsidRPr="00000000" w14:paraId="0000024F">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w:t>
            </w:r>
          </w:p>
        </w:tc>
        <w:tc>
          <w:tcPr>
            <w:vAlign w:val="center"/>
          </w:tcPr>
          <w:p w:rsidR="00000000" w:rsidDel="00000000" w:rsidP="00000000" w:rsidRDefault="00000000" w:rsidRPr="00000000" w14:paraId="0000025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w:t>
            </w:r>
          </w:p>
        </w:tc>
        <w:tc>
          <w:tcPr>
            <w:vAlign w:val="center"/>
          </w:tcPr>
          <w:p w:rsidR="00000000" w:rsidDel="00000000" w:rsidP="00000000" w:rsidRDefault="00000000" w:rsidRPr="00000000" w14:paraId="0000025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w:t>
            </w:r>
          </w:p>
        </w:tc>
      </w:tr>
      <w:tr>
        <w:trPr>
          <w:cantSplit w:val="0"/>
          <w:trHeight w:val="966" w:hRule="atLeast"/>
          <w:tblHeader w:val="0"/>
        </w:trPr>
        <w:tc>
          <w:tcPr>
            <w:vAlign w:val="center"/>
          </w:tcPr>
          <w:p w:rsidR="00000000" w:rsidDel="00000000" w:rsidP="00000000" w:rsidRDefault="00000000" w:rsidRPr="00000000" w14:paraId="0000025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53">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điện toán đám mây, lượng tử, dữ liệu lớn</w:t>
            </w:r>
          </w:p>
        </w:tc>
        <w:tc>
          <w:tcPr>
            <w:vAlign w:val="center"/>
          </w:tcPr>
          <w:p w:rsidR="00000000" w:rsidDel="00000000" w:rsidP="00000000" w:rsidRDefault="00000000" w:rsidRPr="00000000" w14:paraId="00000254">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137</w:t>
            </w:r>
          </w:p>
        </w:tc>
        <w:tc>
          <w:tcPr>
            <w:vAlign w:val="center"/>
          </w:tcPr>
          <w:p w:rsidR="00000000" w:rsidDel="00000000" w:rsidP="00000000" w:rsidRDefault="00000000" w:rsidRPr="00000000" w14:paraId="00000255">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vAlign w:val="center"/>
          </w:tcPr>
          <w:p w:rsidR="00000000" w:rsidDel="00000000" w:rsidP="00000000" w:rsidRDefault="00000000" w:rsidRPr="00000000" w14:paraId="00000256">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r>
      <w:tr>
        <w:trPr>
          <w:cantSplit w:val="0"/>
          <w:trHeight w:val="966" w:hRule="atLeast"/>
          <w:tblHeader w:val="0"/>
        </w:trPr>
        <w:tc>
          <w:tcPr>
            <w:vAlign w:val="center"/>
          </w:tcPr>
          <w:p w:rsidR="00000000" w:rsidDel="00000000" w:rsidP="00000000" w:rsidRDefault="00000000" w:rsidRPr="00000000" w14:paraId="00000257">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Align w:val="center"/>
          </w:tcPr>
          <w:p w:rsidR="00000000" w:rsidDel="00000000" w:rsidP="00000000" w:rsidRDefault="00000000" w:rsidRPr="00000000" w14:paraId="00000258">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Blockchain</w:t>
            </w:r>
          </w:p>
        </w:tc>
        <w:tc>
          <w:tcPr>
            <w:vAlign w:val="center"/>
          </w:tcPr>
          <w:p w:rsidR="00000000" w:rsidDel="00000000" w:rsidP="00000000" w:rsidRDefault="00000000" w:rsidRPr="00000000" w14:paraId="0000025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157</w:t>
            </w:r>
          </w:p>
        </w:tc>
        <w:tc>
          <w:tcPr>
            <w:vAlign w:val="center"/>
          </w:tcPr>
          <w:p w:rsidR="00000000" w:rsidDel="00000000" w:rsidP="00000000" w:rsidRDefault="00000000" w:rsidRPr="00000000" w14:paraId="0000025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vAlign w:val="center"/>
          </w:tcPr>
          <w:p w:rsidR="00000000" w:rsidDel="00000000" w:rsidP="00000000" w:rsidRDefault="00000000" w:rsidRPr="00000000" w14:paraId="0000025B">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138</w:t>
            </w:r>
          </w:p>
        </w:tc>
      </w:tr>
      <w:tr>
        <w:trPr>
          <w:cantSplit w:val="0"/>
          <w:trHeight w:val="966" w:hRule="atLeast"/>
          <w:tblHeader w:val="0"/>
        </w:trPr>
        <w:tc>
          <w:tcPr>
            <w:vAlign w:val="center"/>
          </w:tcPr>
          <w:p w:rsidR="00000000" w:rsidDel="00000000" w:rsidP="00000000" w:rsidRDefault="00000000" w:rsidRPr="00000000" w14:paraId="0000025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5D">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mạng di động thế hệ sau (5G/6G)</w:t>
            </w:r>
          </w:p>
        </w:tc>
        <w:tc>
          <w:tcPr>
            <w:vAlign w:val="center"/>
          </w:tcPr>
          <w:p w:rsidR="00000000" w:rsidDel="00000000" w:rsidP="00000000" w:rsidRDefault="00000000" w:rsidRPr="00000000" w14:paraId="0000025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vAlign w:val="center"/>
          </w:tcPr>
          <w:p w:rsidR="00000000" w:rsidDel="00000000" w:rsidP="00000000" w:rsidRDefault="00000000" w:rsidRPr="00000000" w14:paraId="0000025F">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vAlign w:val="center"/>
          </w:tcPr>
          <w:p w:rsidR="00000000" w:rsidDel="00000000" w:rsidP="00000000" w:rsidRDefault="00000000" w:rsidRPr="00000000" w14:paraId="0000026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r>
      <w:tr>
        <w:trPr>
          <w:cantSplit w:val="0"/>
          <w:trHeight w:val="966" w:hRule="atLeast"/>
          <w:tblHeader w:val="0"/>
        </w:trPr>
        <w:tc>
          <w:tcPr>
            <w:vAlign w:val="center"/>
          </w:tcPr>
          <w:p w:rsidR="00000000" w:rsidDel="00000000" w:rsidP="00000000" w:rsidRDefault="00000000" w:rsidRPr="00000000" w14:paraId="0000026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62">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robot và tự động hóa</w:t>
            </w:r>
          </w:p>
        </w:tc>
        <w:tc>
          <w:tcPr>
            <w:vAlign w:val="center"/>
          </w:tcPr>
          <w:p w:rsidR="00000000" w:rsidDel="00000000" w:rsidP="00000000" w:rsidRDefault="00000000" w:rsidRPr="00000000" w14:paraId="00000263">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w:t>
            </w:r>
          </w:p>
        </w:tc>
        <w:tc>
          <w:tcPr>
            <w:vAlign w:val="center"/>
          </w:tcPr>
          <w:p w:rsidR="00000000" w:rsidDel="00000000" w:rsidP="00000000" w:rsidRDefault="00000000" w:rsidRPr="00000000" w14:paraId="00000264">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vAlign w:val="center"/>
          </w:tcPr>
          <w:p w:rsidR="00000000" w:rsidDel="00000000" w:rsidP="00000000" w:rsidRDefault="00000000" w:rsidRPr="00000000" w14:paraId="00000265">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r>
      <w:tr>
        <w:trPr>
          <w:cantSplit w:val="0"/>
          <w:trHeight w:val="966" w:hRule="atLeast"/>
          <w:tblHeader w:val="0"/>
        </w:trPr>
        <w:tc>
          <w:tcPr>
            <w:vAlign w:val="center"/>
          </w:tcPr>
          <w:p w:rsidR="00000000" w:rsidDel="00000000" w:rsidP="00000000" w:rsidRDefault="00000000" w:rsidRPr="00000000" w14:paraId="00000266">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Align w:val="center"/>
          </w:tcPr>
          <w:p w:rsidR="00000000" w:rsidDel="00000000" w:rsidP="00000000" w:rsidRDefault="00000000" w:rsidRPr="00000000" w14:paraId="00000267">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chip bán dẫn</w:t>
            </w:r>
          </w:p>
        </w:tc>
        <w:tc>
          <w:tcPr>
            <w:vAlign w:val="center"/>
          </w:tcPr>
          <w:p w:rsidR="00000000" w:rsidDel="00000000" w:rsidP="00000000" w:rsidRDefault="00000000" w:rsidRPr="00000000" w14:paraId="00000268">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vAlign w:val="center"/>
          </w:tcPr>
          <w:p w:rsidR="00000000" w:rsidDel="00000000" w:rsidP="00000000" w:rsidRDefault="00000000" w:rsidRPr="00000000" w14:paraId="0000026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p>
        </w:tc>
        <w:tc>
          <w:tcPr>
            <w:vAlign w:val="center"/>
          </w:tcPr>
          <w:p w:rsidR="00000000" w:rsidDel="00000000" w:rsidP="00000000" w:rsidRDefault="00000000" w:rsidRPr="00000000" w14:paraId="0000026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r>
      <w:tr>
        <w:trPr>
          <w:cantSplit w:val="0"/>
          <w:trHeight w:val="966" w:hRule="atLeast"/>
          <w:tblHeader w:val="0"/>
        </w:trPr>
        <w:tc>
          <w:tcPr>
            <w:vAlign w:val="center"/>
          </w:tcPr>
          <w:p w:rsidR="00000000" w:rsidDel="00000000" w:rsidP="00000000" w:rsidRDefault="00000000" w:rsidRPr="00000000" w14:paraId="0000026B">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6C">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y – sinh học tiên tiến</w:t>
            </w:r>
          </w:p>
        </w:tc>
        <w:tc>
          <w:tcPr>
            <w:vAlign w:val="center"/>
          </w:tcPr>
          <w:p w:rsidR="00000000" w:rsidDel="00000000" w:rsidP="00000000" w:rsidRDefault="00000000" w:rsidRPr="00000000" w14:paraId="0000026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c>
          <w:tcPr>
            <w:vAlign w:val="center"/>
          </w:tcPr>
          <w:p w:rsidR="00000000" w:rsidDel="00000000" w:rsidP="00000000" w:rsidRDefault="00000000" w:rsidRPr="00000000" w14:paraId="0000026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Align w:val="center"/>
          </w:tcPr>
          <w:p w:rsidR="00000000" w:rsidDel="00000000" w:rsidP="00000000" w:rsidRDefault="00000000" w:rsidRPr="00000000" w14:paraId="0000026F">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r>
      <w:tr>
        <w:trPr>
          <w:cantSplit w:val="0"/>
          <w:trHeight w:val="966" w:hRule="atLeast"/>
          <w:tblHeader w:val="0"/>
        </w:trPr>
        <w:tc>
          <w:tcPr>
            <w:vAlign w:val="center"/>
          </w:tcPr>
          <w:p w:rsidR="00000000" w:rsidDel="00000000" w:rsidP="00000000" w:rsidRDefault="00000000" w:rsidRPr="00000000" w14:paraId="0000027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1">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năng lượng, vật liệu tiên tiến</w:t>
            </w:r>
          </w:p>
        </w:tc>
        <w:tc>
          <w:tcPr>
            <w:vAlign w:val="center"/>
          </w:tcPr>
          <w:p w:rsidR="00000000" w:rsidDel="00000000" w:rsidP="00000000" w:rsidRDefault="00000000" w:rsidRPr="00000000" w14:paraId="0000027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716</w:t>
            </w:r>
          </w:p>
        </w:tc>
        <w:tc>
          <w:tcPr>
            <w:vAlign w:val="center"/>
          </w:tcPr>
          <w:p w:rsidR="00000000" w:rsidDel="00000000" w:rsidP="00000000" w:rsidRDefault="00000000" w:rsidRPr="00000000" w14:paraId="00000273">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145</w:t>
            </w:r>
          </w:p>
        </w:tc>
        <w:tc>
          <w:tcPr>
            <w:vAlign w:val="center"/>
          </w:tcPr>
          <w:p w:rsidR="00000000" w:rsidDel="00000000" w:rsidP="00000000" w:rsidRDefault="00000000" w:rsidRPr="00000000" w14:paraId="00000274">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571</w:t>
            </w:r>
          </w:p>
        </w:tc>
      </w:tr>
      <w:tr>
        <w:trPr>
          <w:cantSplit w:val="0"/>
          <w:trHeight w:val="966" w:hRule="atLeast"/>
          <w:tblHeader w:val="0"/>
        </w:trPr>
        <w:tc>
          <w:tcPr>
            <w:vAlign w:val="center"/>
          </w:tcPr>
          <w:p w:rsidR="00000000" w:rsidDel="00000000" w:rsidP="00000000" w:rsidRDefault="00000000" w:rsidRPr="00000000" w14:paraId="00000275">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276">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đất hiếm, đại dương, lòng đất</w:t>
            </w:r>
          </w:p>
        </w:tc>
        <w:tc>
          <w:tcPr>
            <w:vAlign w:val="center"/>
          </w:tcPr>
          <w:p w:rsidR="00000000" w:rsidDel="00000000" w:rsidP="00000000" w:rsidRDefault="00000000" w:rsidRPr="00000000" w14:paraId="00000277">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vAlign w:val="center"/>
          </w:tcPr>
          <w:p w:rsidR="00000000" w:rsidDel="00000000" w:rsidP="00000000" w:rsidRDefault="00000000" w:rsidRPr="00000000" w14:paraId="00000278">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w:t>
            </w:r>
          </w:p>
        </w:tc>
        <w:tc>
          <w:tcPr>
            <w:vAlign w:val="center"/>
          </w:tcPr>
          <w:p w:rsidR="00000000" w:rsidDel="00000000" w:rsidP="00000000" w:rsidRDefault="00000000" w:rsidRPr="00000000" w14:paraId="0000027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w:t>
            </w:r>
          </w:p>
        </w:tc>
      </w:tr>
      <w:tr>
        <w:trPr>
          <w:cantSplit w:val="0"/>
          <w:trHeight w:val="966" w:hRule="atLeast"/>
          <w:tblHeader w:val="0"/>
        </w:trPr>
        <w:tc>
          <w:tcPr>
            <w:vAlign w:val="center"/>
          </w:tcPr>
          <w:p w:rsidR="00000000" w:rsidDel="00000000" w:rsidP="00000000" w:rsidRDefault="00000000" w:rsidRPr="00000000" w14:paraId="0000027A">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27B">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ninh mạng</w:t>
            </w:r>
          </w:p>
        </w:tc>
        <w:tc>
          <w:tcPr>
            <w:vAlign w:val="center"/>
          </w:tcPr>
          <w:p w:rsidR="00000000" w:rsidDel="00000000" w:rsidP="00000000" w:rsidRDefault="00000000" w:rsidRPr="00000000" w14:paraId="0000027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c>
          <w:tcPr>
            <w:vAlign w:val="center"/>
          </w:tcPr>
          <w:p w:rsidR="00000000" w:rsidDel="00000000" w:rsidP="00000000" w:rsidRDefault="00000000" w:rsidRPr="00000000" w14:paraId="0000027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vAlign w:val="center"/>
          </w:tcPr>
          <w:p w:rsidR="00000000" w:rsidDel="00000000" w:rsidP="00000000" w:rsidRDefault="00000000" w:rsidRPr="00000000" w14:paraId="0000027E">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r>
      <w:tr>
        <w:trPr>
          <w:cantSplit w:val="0"/>
          <w:trHeight w:val="966" w:hRule="atLeast"/>
          <w:tblHeader w:val="0"/>
        </w:trPr>
        <w:tc>
          <w:tcPr>
            <w:vAlign w:val="center"/>
          </w:tcPr>
          <w:p w:rsidR="00000000" w:rsidDel="00000000" w:rsidP="00000000" w:rsidRDefault="00000000" w:rsidRPr="00000000" w14:paraId="0000027F">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80">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hàng không, vũ trụ</w:t>
            </w:r>
          </w:p>
        </w:tc>
        <w:tc>
          <w:tcPr>
            <w:vAlign w:val="center"/>
          </w:tcPr>
          <w:p w:rsidR="00000000" w:rsidDel="00000000" w:rsidP="00000000" w:rsidRDefault="00000000" w:rsidRPr="00000000" w14:paraId="0000028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182</w:t>
            </w:r>
          </w:p>
        </w:tc>
        <w:tc>
          <w:tcPr>
            <w:vAlign w:val="center"/>
          </w:tcPr>
          <w:p w:rsidR="00000000" w:rsidDel="00000000" w:rsidP="00000000" w:rsidRDefault="00000000" w:rsidRPr="00000000" w14:paraId="0000028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283">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182</w:t>
            </w:r>
          </w:p>
        </w:tc>
      </w:tr>
      <w:tr>
        <w:trPr>
          <w:cantSplit w:val="0"/>
          <w:trHeight w:val="613" w:hRule="atLeast"/>
          <w:tblHeader w:val="0"/>
        </w:trPr>
        <w:tc>
          <w:tcPr>
            <w:gridSpan w:val="5"/>
            <w:vAlign w:val="center"/>
          </w:tcPr>
          <w:p w:rsidR="00000000" w:rsidDel="00000000" w:rsidP="00000000" w:rsidRDefault="00000000" w:rsidRPr="00000000" w14:paraId="00000284">
            <w:pPr>
              <w:spacing w:after="120" w:before="12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Nhóm Dự án trọng điểm quốc gia</w:t>
            </w:r>
          </w:p>
        </w:tc>
      </w:tr>
      <w:tr>
        <w:trPr>
          <w:cantSplit w:val="0"/>
          <w:trHeight w:val="966" w:hRule="atLeast"/>
          <w:tblHeader w:val="0"/>
        </w:trPr>
        <w:tc>
          <w:tcPr>
            <w:vAlign w:val="center"/>
          </w:tcPr>
          <w:p w:rsidR="00000000" w:rsidDel="00000000" w:rsidP="00000000" w:rsidRDefault="00000000" w:rsidRPr="00000000" w14:paraId="00000289">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28A">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Đô thị thông minh; Điện hạt nhân; Đường sắt cao tốc;…</w:t>
            </w:r>
          </w:p>
        </w:tc>
        <w:tc>
          <w:tcPr>
            <w:vAlign w:val="center"/>
          </w:tcPr>
          <w:p w:rsidR="00000000" w:rsidDel="00000000" w:rsidP="00000000" w:rsidRDefault="00000000" w:rsidRPr="00000000" w14:paraId="0000028B">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579</w:t>
            </w:r>
          </w:p>
        </w:tc>
        <w:tc>
          <w:tcPr>
            <w:vAlign w:val="center"/>
          </w:tcPr>
          <w:p w:rsidR="00000000" w:rsidDel="00000000" w:rsidP="00000000" w:rsidRDefault="00000000" w:rsidRPr="00000000" w14:paraId="0000028C">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432</w:t>
            </w:r>
          </w:p>
        </w:tc>
        <w:tc>
          <w:tcPr>
            <w:vAlign w:val="center"/>
          </w:tcPr>
          <w:p w:rsidR="00000000" w:rsidDel="00000000" w:rsidP="00000000" w:rsidRDefault="00000000" w:rsidRPr="00000000" w14:paraId="0000028D">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147</w:t>
            </w:r>
          </w:p>
        </w:tc>
      </w:tr>
      <w:tr>
        <w:trPr>
          <w:cantSplit w:val="0"/>
          <w:trHeight w:val="966" w:hRule="atLeast"/>
          <w:tblHeader w:val="0"/>
        </w:trPr>
        <w:tc>
          <w:tcPr>
            <w:gridSpan w:val="2"/>
            <w:vAlign w:val="center"/>
          </w:tcPr>
          <w:p w:rsidR="00000000" w:rsidDel="00000000" w:rsidP="00000000" w:rsidRDefault="00000000" w:rsidRPr="00000000" w14:paraId="0000028E">
            <w:pPr>
              <w:spacing w:after="120" w:before="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Tổng số:</w:t>
            </w:r>
          </w:p>
        </w:tc>
        <w:tc>
          <w:tcPr>
            <w:vAlign w:val="center"/>
          </w:tcPr>
          <w:p w:rsidR="00000000" w:rsidDel="00000000" w:rsidP="00000000" w:rsidRDefault="00000000" w:rsidRPr="00000000" w14:paraId="00000290">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2441</w:t>
            </w:r>
          </w:p>
        </w:tc>
        <w:tc>
          <w:tcPr>
            <w:vAlign w:val="center"/>
          </w:tcPr>
          <w:p w:rsidR="00000000" w:rsidDel="00000000" w:rsidP="00000000" w:rsidRDefault="00000000" w:rsidRPr="00000000" w14:paraId="00000291">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835</w:t>
            </w:r>
          </w:p>
        </w:tc>
        <w:tc>
          <w:tcPr>
            <w:vAlign w:val="center"/>
          </w:tcPr>
          <w:p w:rsidR="00000000" w:rsidDel="00000000" w:rsidP="00000000" w:rsidRDefault="00000000" w:rsidRPr="00000000" w14:paraId="0000029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1606</w:t>
            </w:r>
          </w:p>
        </w:tc>
      </w:tr>
    </w:tbl>
    <w:p w:rsidR="00000000" w:rsidDel="00000000" w:rsidP="00000000" w:rsidRDefault="00000000" w:rsidRPr="00000000" w14:paraId="0000029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A">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B">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C">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D">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E">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0">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spacing w:line="360" w:lineRule="auto"/>
        <w:jc w:val="center"/>
        <w:rPr>
          <w:rFonts w:ascii="Times New Roman" w:cs="Times New Roman" w:eastAsia="Times New Roman" w:hAnsi="Times New Roman"/>
          <w:sz w:val="28"/>
          <w:szCs w:val="28"/>
        </w:rPr>
        <w:sectPr>
          <w:type w:val="nextPage"/>
          <w:pgSz w:h="15840" w:w="12240" w:orient="portrait"/>
          <w:pgMar w:bottom="1134" w:top="1134" w:left="1701" w:right="1134" w:header="709" w:footer="709"/>
          <w:pgNumType w:start="1"/>
          <w:titlePg w:val="1"/>
        </w:sectPr>
      </w:pPr>
      <w:r w:rsidDel="00000000" w:rsidR="00000000" w:rsidRPr="00000000">
        <w:rPr>
          <w:rtl w:val="0"/>
        </w:rPr>
      </w:r>
    </w:p>
    <w:p w:rsidR="00000000" w:rsidDel="00000000" w:rsidP="00000000" w:rsidRDefault="00000000" w:rsidRPr="00000000" w14:paraId="000002A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Phụ lục V</w:t>
      </w:r>
    </w:p>
    <w:p w:rsidR="00000000" w:rsidDel="00000000" w:rsidP="00000000" w:rsidRDefault="00000000" w:rsidRPr="00000000" w14:paraId="000002A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ĐẶT HÀNG NHIỆM VỤ CỦA CÁC BỘ, NGÀNH, ĐỊA PHƯƠNG</w:t>
      </w:r>
    </w:p>
    <w:p w:rsidR="00000000" w:rsidDel="00000000" w:rsidP="00000000" w:rsidRDefault="00000000" w:rsidRPr="00000000" w14:paraId="000002A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bl>
      <w:tblPr>
        <w:tblStyle w:val="Table8"/>
        <w:tblW w:w="141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4"/>
        <w:gridCol w:w="1278"/>
        <w:gridCol w:w="1979"/>
        <w:gridCol w:w="2545"/>
        <w:gridCol w:w="49"/>
        <w:gridCol w:w="3407"/>
        <w:gridCol w:w="1336"/>
        <w:gridCol w:w="825"/>
        <w:gridCol w:w="1969"/>
        <w:tblGridChange w:id="0">
          <w:tblGrid>
            <w:gridCol w:w="744"/>
            <w:gridCol w:w="1278"/>
            <w:gridCol w:w="1979"/>
            <w:gridCol w:w="2545"/>
            <w:gridCol w:w="49"/>
            <w:gridCol w:w="3407"/>
            <w:gridCol w:w="1336"/>
            <w:gridCol w:w="825"/>
            <w:gridCol w:w="1969"/>
          </w:tblGrid>
        </w:tblGridChange>
      </w:tblGrid>
      <w:tr>
        <w:trPr>
          <w:cantSplit w:val="0"/>
          <w:tblHeader w:val="0"/>
        </w:trPr>
        <w:tc>
          <w:tcPr>
            <w:shd w:fill="dae9f7" w:val="clear"/>
          </w:tcPr>
          <w:p w:rsidR="00000000" w:rsidDel="00000000" w:rsidP="00000000" w:rsidRDefault="00000000" w:rsidRPr="00000000" w14:paraId="000002A5">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STT</w:t>
            </w:r>
          </w:p>
        </w:tc>
        <w:tc>
          <w:tcPr>
            <w:shd w:fill="dae9f7" w:val="clear"/>
          </w:tcPr>
          <w:p w:rsidR="00000000" w:rsidDel="00000000" w:rsidP="00000000" w:rsidRDefault="00000000" w:rsidRPr="00000000" w14:paraId="000002A6">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Đơn vị</w:t>
            </w:r>
          </w:p>
        </w:tc>
        <w:tc>
          <w:tcPr>
            <w:shd w:fill="dae9f7" w:val="clear"/>
          </w:tcPr>
          <w:p w:rsidR="00000000" w:rsidDel="00000000" w:rsidP="00000000" w:rsidRDefault="00000000" w:rsidRPr="00000000" w14:paraId="000002A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Tên nhiệm vụ</w:t>
            </w:r>
          </w:p>
        </w:tc>
        <w:tc>
          <w:tcPr>
            <w:shd w:fill="dae9f7" w:val="clear"/>
          </w:tcPr>
          <w:p w:rsidR="00000000" w:rsidDel="00000000" w:rsidP="00000000" w:rsidRDefault="00000000" w:rsidRPr="00000000" w14:paraId="000002A8">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Mục tiêu</w:t>
            </w:r>
          </w:p>
        </w:tc>
        <w:tc>
          <w:tcPr>
            <w:gridSpan w:val="2"/>
            <w:shd w:fill="dae9f7" w:val="clear"/>
          </w:tcPr>
          <w:p w:rsidR="00000000" w:rsidDel="00000000" w:rsidP="00000000" w:rsidRDefault="00000000" w:rsidRPr="00000000" w14:paraId="000002A9">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Kết quả dự kiến</w:t>
            </w:r>
          </w:p>
        </w:tc>
        <w:tc>
          <w:tcPr>
            <w:shd w:fill="dae9f7" w:val="clear"/>
          </w:tcPr>
          <w:p w:rsidR="00000000" w:rsidDel="00000000" w:rsidP="00000000" w:rsidRDefault="00000000" w:rsidRPr="00000000" w14:paraId="000002AB">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kiến kinh phí (triệu đồng)</w:t>
            </w:r>
          </w:p>
        </w:tc>
        <w:tc>
          <w:tcPr>
            <w:shd w:fill="dae9f7" w:val="clear"/>
          </w:tcPr>
          <w:p w:rsidR="00000000" w:rsidDel="00000000" w:rsidP="00000000" w:rsidRDefault="00000000" w:rsidRPr="00000000" w14:paraId="000002AC">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Thời gian thực hiện</w:t>
            </w:r>
          </w:p>
        </w:tc>
        <w:tc>
          <w:tcPr>
            <w:shd w:fill="dae9f7" w:val="clear"/>
          </w:tcPr>
          <w:p w:rsidR="00000000" w:rsidDel="00000000" w:rsidP="00000000" w:rsidRDefault="00000000" w:rsidRPr="00000000" w14:paraId="000002AD">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Ghi chú</w:t>
            </w:r>
          </w:p>
        </w:tc>
      </w:tr>
      <w:tr>
        <w:trPr>
          <w:cantSplit w:val="0"/>
          <w:tblHeader w:val="0"/>
        </w:trPr>
        <w:tc>
          <w:tcPr>
            <w:vMerge w:val="restart"/>
          </w:tcPr>
          <w:p w:rsidR="00000000" w:rsidDel="00000000" w:rsidP="00000000" w:rsidRDefault="00000000" w:rsidRPr="00000000" w14:paraId="000002A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restart"/>
          </w:tcPr>
          <w:p w:rsidR="00000000" w:rsidDel="00000000" w:rsidP="00000000" w:rsidRDefault="00000000" w:rsidRPr="00000000" w14:paraId="000002A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Quốc phòng</w:t>
            </w:r>
          </w:p>
        </w:tc>
        <w:tc>
          <w:tcPr/>
          <w:p w:rsidR="00000000" w:rsidDel="00000000" w:rsidP="00000000" w:rsidRDefault="00000000" w:rsidRPr="00000000" w14:paraId="000002B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phát triển công nghệ trạm gốc 5G Advance và định hướng công nghệ 6G.</w:t>
            </w:r>
          </w:p>
        </w:tc>
        <w:tc>
          <w:tcPr/>
          <w:p w:rsidR="00000000" w:rsidDel="00000000" w:rsidP="00000000" w:rsidRDefault="00000000" w:rsidRPr="00000000" w14:paraId="000002B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phát triển phần cứng và phần mềm trạm gốc gNodeB 5G Advance tự chủ Make in Việt Nam.</w:t>
            </w:r>
          </w:p>
        </w:tc>
        <w:tc>
          <w:tcPr>
            <w:gridSpan w:val="2"/>
          </w:tcPr>
          <w:p w:rsidR="00000000" w:rsidDel="00000000" w:rsidP="00000000" w:rsidRDefault="00000000" w:rsidRPr="00000000" w14:paraId="000002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Trạm gNodeB Macro 128T128R đạt chuẩn quốc tế; bộ tài liệu công nghệ trạm gốc thế hệ mới.</w:t>
            </w:r>
          </w:p>
        </w:tc>
        <w:tc>
          <w:tcPr>
            <w:vAlign w:val="center"/>
          </w:tcPr>
          <w:p w:rsidR="00000000" w:rsidDel="00000000" w:rsidP="00000000" w:rsidRDefault="00000000" w:rsidRPr="00000000" w14:paraId="000002B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169.000</w:t>
            </w:r>
          </w:p>
        </w:tc>
        <w:tc>
          <w:tcPr>
            <w:vAlign w:val="center"/>
          </w:tcPr>
          <w:p w:rsidR="00000000" w:rsidDel="00000000" w:rsidP="00000000" w:rsidRDefault="00000000" w:rsidRPr="00000000" w14:paraId="000002B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Merge w:val="restart"/>
          </w:tcPr>
          <w:p w:rsidR="00000000" w:rsidDel="00000000" w:rsidP="00000000" w:rsidRDefault="00000000" w:rsidRPr="00000000" w14:paraId="000002B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2631/BQP-KHQS ngày 22/04/2026</w:t>
            </w:r>
          </w:p>
        </w:tc>
      </w:tr>
      <w:tr>
        <w:trPr>
          <w:cantSplit w:val="0"/>
          <w:tblHeader w:val="0"/>
        </w:trPr>
        <w:tc>
          <w:tcPr>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thiết kế và chế tạo nền tảng chip bảo mật.</w:t>
            </w:r>
          </w:p>
        </w:tc>
        <w:tc>
          <w:tcPr/>
          <w:p w:rsidR="00000000" w:rsidDel="00000000" w:rsidP="00000000" w:rsidRDefault="00000000" w:rsidRPr="00000000" w14:paraId="000002B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chủ thiết kế chip bảo mật phục vụ an ninh quốc phòng và tài chính, chống tấn công vật lý/logic.</w:t>
            </w:r>
          </w:p>
        </w:tc>
        <w:tc>
          <w:tcPr>
            <w:gridSpan w:val="2"/>
          </w:tcPr>
          <w:p w:rsidR="00000000" w:rsidDel="00000000" w:rsidP="00000000" w:rsidRDefault="00000000" w:rsidRPr="00000000" w14:paraId="000002B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bảo mật RISC-V tích hợp USB; sản phẩm USB bảo mật; bộ IP lõi về bảo mật phần cứng.</w:t>
            </w:r>
          </w:p>
        </w:tc>
        <w:tc>
          <w:tcPr>
            <w:vAlign w:val="center"/>
          </w:tcPr>
          <w:p w:rsidR="00000000" w:rsidDel="00000000" w:rsidP="00000000" w:rsidRDefault="00000000" w:rsidRPr="00000000" w14:paraId="000002B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68.000</w:t>
            </w:r>
          </w:p>
        </w:tc>
        <w:tc>
          <w:tcPr>
            <w:vAlign w:val="center"/>
          </w:tcPr>
          <w:p w:rsidR="00000000" w:rsidDel="00000000" w:rsidP="00000000" w:rsidRDefault="00000000" w:rsidRPr="00000000" w14:paraId="000002B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xây dựng hệ thống quản lý không phận tầm thấp và thử nghiệm giải pháp phục vụ nền Kinh tế tầm thấp.</w:t>
            </w:r>
          </w:p>
        </w:tc>
        <w:tc>
          <w:tcPr/>
          <w:p w:rsidR="00000000" w:rsidDel="00000000" w:rsidP="00000000" w:rsidRDefault="00000000" w:rsidRPr="00000000" w14:paraId="000002C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hệ thống UTM trung tâm điều phối, giám sát bay không người lái an toàn trong không phận tầm thấp.</w:t>
            </w:r>
          </w:p>
        </w:tc>
        <w:tc>
          <w:tcPr>
            <w:gridSpan w:val="2"/>
          </w:tcPr>
          <w:p w:rsidR="00000000" w:rsidDel="00000000" w:rsidP="00000000" w:rsidRDefault="00000000" w:rsidRPr="00000000" w14:paraId="000002C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UTM đầy đủ 6 nhóm tính năng ICAO; nền tảng dữ liệu không phận 3D; thuật toán điều tiết bay tự động.</w:t>
            </w:r>
          </w:p>
        </w:tc>
        <w:tc>
          <w:tcPr>
            <w:vAlign w:val="center"/>
          </w:tcPr>
          <w:p w:rsidR="00000000" w:rsidDel="00000000" w:rsidP="00000000" w:rsidRDefault="00000000" w:rsidRPr="00000000" w14:paraId="000002C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150.000</w:t>
            </w:r>
          </w:p>
        </w:tc>
        <w:tc>
          <w:tcPr>
            <w:vAlign w:val="center"/>
          </w:tcPr>
          <w:p w:rsidR="00000000" w:rsidDel="00000000" w:rsidP="00000000" w:rsidRDefault="00000000" w:rsidRPr="00000000" w14:paraId="000002C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Merge w:val="continue"/>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Merge w:val="restart"/>
          </w:tcPr>
          <w:p w:rsidR="00000000" w:rsidDel="00000000" w:rsidP="00000000" w:rsidRDefault="00000000" w:rsidRPr="00000000" w14:paraId="000002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Biên</w:t>
            </w:r>
          </w:p>
        </w:tc>
        <w:tc>
          <w:tcPr/>
          <w:p w:rsidR="00000000" w:rsidDel="00000000" w:rsidP="00000000" w:rsidRDefault="00000000" w:rsidRPr="00000000" w14:paraId="000002C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thiết bị bay không người lái (UAV/Drone) phục vụ phát triển kinh tế không gian tầm thấp gắn với logistics, nông nghiệp và du lịch, cứu hộ, cứu nạn.</w:t>
            </w:r>
          </w:p>
        </w:tc>
        <w:tc>
          <w:tcPr>
            <w:gridSpan w:val="2"/>
          </w:tcPr>
          <w:p w:rsidR="00000000" w:rsidDel="00000000" w:rsidP="00000000" w:rsidRDefault="00000000" w:rsidRPr="00000000" w14:paraId="000002C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kinh tế không gian tầm thấp nhằm tận dụng điều kiện địa hình đặc thù, giải quyết khó khăn trong vận chuyển, cứu hộ và sản xuất nông nghiệp.</w:t>
            </w:r>
          </w:p>
        </w:tc>
        <w:tc>
          <w:tcPr/>
          <w:p w:rsidR="00000000" w:rsidDel="00000000" w:rsidP="00000000" w:rsidRDefault="00000000" w:rsidRPr="00000000" w14:paraId="000002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Thử nghiệm sandbox ứng dụng công nghệ mới; hỗ trợ canh tác nông nghiệp, logistics, y tế, cứu hộ, du lịch; hạ tầng logistics hiện đại.</w:t>
            </w:r>
          </w:p>
        </w:tc>
        <w:tc>
          <w:tcPr>
            <w:vAlign w:val="center"/>
          </w:tcPr>
          <w:p w:rsidR="00000000" w:rsidDel="00000000" w:rsidP="00000000" w:rsidRDefault="00000000" w:rsidRPr="00000000" w14:paraId="000002C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50.000</w:t>
            </w:r>
          </w:p>
        </w:tc>
        <w:tc>
          <w:tcPr>
            <w:vAlign w:val="center"/>
          </w:tcPr>
          <w:p w:rsidR="00000000" w:rsidDel="00000000" w:rsidP="00000000" w:rsidRDefault="00000000" w:rsidRPr="00000000" w14:paraId="000002D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48 - 60</w:t>
            </w:r>
          </w:p>
        </w:tc>
        <w:tc>
          <w:tcPr>
            <w:vMerge w:val="restart"/>
          </w:tcPr>
          <w:p w:rsidR="00000000" w:rsidDel="00000000" w:rsidP="00000000" w:rsidRDefault="00000000" w:rsidRPr="00000000" w14:paraId="000002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3246/UBND-KGVX ngày 24/04/2026</w:t>
            </w:r>
          </w:p>
        </w:tc>
      </w:tr>
      <w:tr>
        <w:trPr>
          <w:cantSplit w:val="0"/>
          <w:tblHeader w:val="0"/>
        </w:trPr>
        <w:tc>
          <w:tcPr>
            <w:vMerge w:val="continue"/>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D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du lịch thông minh (Xây dựng phòng trải nghiệm khám phá Immersive 360 du lịch tỉnh Điện Biên, Phần mềm thuyết minh tự động AI).</w:t>
            </w:r>
          </w:p>
        </w:tc>
        <w:tc>
          <w:tcPr>
            <w:gridSpan w:val="2"/>
          </w:tcPr>
          <w:p w:rsidR="00000000" w:rsidDel="00000000" w:rsidP="00000000" w:rsidRDefault="00000000" w:rsidRPr="00000000" w14:paraId="000002D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Thúc đẩy chuyển đổi số ngành du lịch; ứng dụng AI, big data và blockchain nâng cao trải nghiệm du khách và phát triển du lịch bền vững.</w:t>
            </w:r>
          </w:p>
        </w:tc>
        <w:tc>
          <w:tcPr/>
          <w:p w:rsidR="00000000" w:rsidDel="00000000" w:rsidP="00000000" w:rsidRDefault="00000000" w:rsidRPr="00000000" w14:paraId="000002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Phòng trải nghiệm Immersive 360 (200-300m2); phần mềm thuyết minh tự động AI; phần mềm quản lý nội dung.</w:t>
            </w:r>
          </w:p>
        </w:tc>
        <w:tc>
          <w:tcPr>
            <w:vAlign w:val="center"/>
          </w:tcPr>
          <w:p w:rsidR="00000000" w:rsidDel="00000000" w:rsidP="00000000" w:rsidRDefault="00000000" w:rsidRPr="00000000" w14:paraId="000002D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25.000</w:t>
            </w:r>
          </w:p>
        </w:tc>
        <w:tc>
          <w:tcPr>
            <w:vAlign w:val="center"/>
          </w:tcPr>
          <w:p w:rsidR="00000000" w:rsidDel="00000000" w:rsidP="00000000" w:rsidRDefault="00000000" w:rsidRPr="00000000" w14:paraId="000002D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12 - 24</w:t>
            </w:r>
          </w:p>
        </w:tc>
        <w:tc>
          <w:tcPr>
            <w:vMerge w:val="continue"/>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D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phần mềm Trợ lý ảo (AI) hỗ trợ cho cán bộ công chức, viên chức trong môi trường làm việc.</w:t>
            </w:r>
          </w:p>
        </w:tc>
        <w:tc>
          <w:tcPr>
            <w:gridSpan w:val="2"/>
          </w:tcPr>
          <w:p w:rsidR="00000000" w:rsidDel="00000000" w:rsidP="00000000" w:rsidRDefault="00000000" w:rsidRPr="00000000" w14:paraId="000002D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hóa và thông minh hóa môi trường làm việc của cán bộ công chức, góp phần xây dựng Chính quyền số hiệu quả, minh bạch.</w:t>
            </w:r>
          </w:p>
        </w:tc>
        <w:tc>
          <w:tcPr/>
          <w:p w:rsidR="00000000" w:rsidDel="00000000" w:rsidP="00000000" w:rsidRDefault="00000000" w:rsidRPr="00000000" w14:paraId="000002E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Phần mềm trợ lý ảo AI hỗ trợ công việc; chuẩn hóa cơ sở dữ liệu khoa học bảo tàng; hệ thống hỏi đáp AI.</w:t>
            </w:r>
          </w:p>
        </w:tc>
        <w:tc>
          <w:tcPr>
            <w:vAlign w:val="center"/>
          </w:tcPr>
          <w:p w:rsidR="00000000" w:rsidDel="00000000" w:rsidP="00000000" w:rsidRDefault="00000000" w:rsidRPr="00000000" w14:paraId="000002E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w:t>
            </w:r>
          </w:p>
        </w:tc>
        <w:tc>
          <w:tcPr>
            <w:vAlign w:val="center"/>
          </w:tcPr>
          <w:p w:rsidR="00000000" w:rsidDel="00000000" w:rsidP="00000000" w:rsidRDefault="00000000" w:rsidRPr="00000000" w14:paraId="000002E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12 - 24</w:t>
            </w:r>
          </w:p>
        </w:tc>
        <w:tc>
          <w:tcPr>
            <w:vMerge w:val="continue"/>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E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restart"/>
          </w:tcPr>
          <w:p w:rsidR="00000000" w:rsidDel="00000000" w:rsidP="00000000" w:rsidRDefault="00000000" w:rsidRPr="00000000" w14:paraId="000002E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Tây Ninh</w:t>
            </w:r>
          </w:p>
        </w:tc>
        <w:tc>
          <w:tcPr/>
          <w:p w:rsidR="00000000" w:rsidDel="00000000" w:rsidP="00000000" w:rsidRDefault="00000000" w:rsidRPr="00000000" w14:paraId="000002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trình thúc đẩy phát triển năng lượng mặt trời và các nguồn năng lượng tái tạo trên địa bàn tỉnh</w:t>
            </w:r>
          </w:p>
        </w:tc>
        <w:tc>
          <w:tcPr>
            <w:gridSpan w:val="2"/>
          </w:tcPr>
          <w:p w:rsidR="00000000" w:rsidDel="00000000" w:rsidP="00000000" w:rsidRDefault="00000000" w:rsidRPr="00000000" w14:paraId="000002E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Giảm tiêu hao năng lượng, giảm chi phí sản xuất, đáp ứng yêu cầu sản xuất xanh và phát triển bền vững.</w:t>
            </w:r>
          </w:p>
        </w:tc>
        <w:tc>
          <w:tcPr/>
          <w:p w:rsidR="00000000" w:rsidDel="00000000" w:rsidP="00000000" w:rsidRDefault="00000000" w:rsidRPr="00000000" w14:paraId="000002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Mô hình ứng dụng năng lượng mặt trời; giải pháp lưu trữ năng lượng; mô hình thí điểm tại doanh nghiệp/khu dân cư.</w:t>
            </w:r>
          </w:p>
        </w:tc>
        <w:tc>
          <w:tcPr>
            <w:vAlign w:val="center"/>
          </w:tcPr>
          <w:p w:rsidR="00000000" w:rsidDel="00000000" w:rsidP="00000000" w:rsidRDefault="00000000" w:rsidRPr="00000000" w14:paraId="000002E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35.000</w:t>
            </w:r>
          </w:p>
        </w:tc>
        <w:tc>
          <w:tcPr>
            <w:vAlign w:val="center"/>
          </w:tcPr>
          <w:p w:rsidR="00000000" w:rsidDel="00000000" w:rsidP="00000000" w:rsidRDefault="00000000" w:rsidRPr="00000000" w14:paraId="000002E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vMerge w:val="restart"/>
          </w:tcPr>
          <w:p w:rsidR="00000000" w:rsidDel="00000000" w:rsidP="00000000" w:rsidRDefault="00000000" w:rsidRPr="00000000" w14:paraId="000002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7091/UBND-VHXH ngày 24/04/2026</w:t>
            </w:r>
          </w:p>
        </w:tc>
      </w:tr>
      <w:tr>
        <w:trPr>
          <w:cantSplit w:val="0"/>
          <w:tblHeader w:val="0"/>
        </w:trPr>
        <w:tc>
          <w:tcPr>
            <w:vMerge w:val="continue"/>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 chức triển khai các hoạt động phát triển tín chỉ Carbon gắn với quản lý phát thải khí nhà kính</w:t>
            </w:r>
          </w:p>
        </w:tc>
        <w:tc>
          <w:tcPr>
            <w:gridSpan w:val="2"/>
          </w:tcPr>
          <w:p w:rsidR="00000000" w:rsidDel="00000000" w:rsidP="00000000" w:rsidRDefault="00000000" w:rsidRPr="00000000" w14:paraId="000002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Thúc đẩy tăng trưởng xanh, kết nối với thị trường Carbon trong nước và quốc tế.</w:t>
            </w:r>
          </w:p>
        </w:tc>
        <w:tc>
          <w:tcPr/>
          <w:p w:rsidR="00000000" w:rsidDel="00000000" w:rsidP="00000000" w:rsidRDefault="00000000" w:rsidRPr="00000000" w14:paraId="000002F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kiểm kê và quản lý phát thải (MRV); cơ sở dữ liệu phát thải; dự án giảm phát thải thí điểm.</w:t>
            </w:r>
          </w:p>
        </w:tc>
        <w:tc>
          <w:tcPr>
            <w:vAlign w:val="center"/>
          </w:tcPr>
          <w:p w:rsidR="00000000" w:rsidDel="00000000" w:rsidP="00000000" w:rsidRDefault="00000000" w:rsidRPr="00000000" w14:paraId="000002F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w:t>
            </w:r>
          </w:p>
        </w:tc>
        <w:tc>
          <w:tcPr>
            <w:vAlign w:val="center"/>
          </w:tcPr>
          <w:p w:rsidR="00000000" w:rsidDel="00000000" w:rsidP="00000000" w:rsidRDefault="00000000" w:rsidRPr="00000000" w14:paraId="000002F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vMerge w:val="continue"/>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và phát triển hệ sinh thái Halal phục vụ sản xuất, thương mại, du lịch và xuất khẩu</w:t>
            </w:r>
          </w:p>
        </w:tc>
        <w:tc>
          <w:tcPr>
            <w:gridSpan w:val="2"/>
          </w:tcPr>
          <w:p w:rsidR="00000000" w:rsidDel="00000000" w:rsidP="00000000" w:rsidRDefault="00000000" w:rsidRPr="00000000" w14:paraId="000002F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hệ sinh thái Halal để doanh nghiệp tiếp cận thị trường toàn cầu, minh bạch nguồn gốc sản phẩm.</w:t>
            </w:r>
          </w:p>
        </w:tc>
        <w:tc>
          <w:tcPr/>
          <w:p w:rsidR="00000000" w:rsidDel="00000000" w:rsidP="00000000" w:rsidRDefault="00000000" w:rsidRPr="00000000" w14:paraId="000002F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Mô hình hệ sinh thái Halal; quy trình sản xuất tiêu chuẩn Halal; hệ thống truy xuất nguồn gốc Halal.</w:t>
            </w:r>
          </w:p>
        </w:tc>
        <w:tc>
          <w:tcPr>
            <w:vAlign w:val="center"/>
          </w:tcPr>
          <w:p w:rsidR="00000000" w:rsidDel="00000000" w:rsidP="00000000" w:rsidRDefault="00000000" w:rsidRPr="00000000" w14:paraId="000002F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w:t>
            </w:r>
          </w:p>
        </w:tc>
        <w:tc>
          <w:tcPr>
            <w:vAlign w:val="center"/>
          </w:tcPr>
          <w:p w:rsidR="00000000" w:rsidDel="00000000" w:rsidP="00000000" w:rsidRDefault="00000000" w:rsidRPr="00000000" w14:paraId="000002F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vMerge w:val="continue"/>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nghệ UAV/Drone đa mục tiêu tích hợp cảm biến và AI</w:t>
            </w:r>
          </w:p>
        </w:tc>
        <w:tc>
          <w:tcPr>
            <w:gridSpan w:val="2"/>
          </w:tcPr>
          <w:p w:rsidR="00000000" w:rsidDel="00000000" w:rsidP="00000000" w:rsidRDefault="00000000" w:rsidRPr="00000000" w14:paraId="000003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Ứng dụng trong nông nghiệp, giám sát tài nguyên, hạ tầng, an ninh, nâng cao hiệu quả quản lý và sản xuất.</w:t>
            </w:r>
          </w:p>
        </w:tc>
        <w:tc>
          <w:tcPr/>
          <w:p w:rsidR="00000000" w:rsidDel="00000000" w:rsidP="00000000" w:rsidRDefault="00000000" w:rsidRPr="00000000" w14:paraId="000003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UAV đa mục tiêu tích hợp cảm biến; phần mềm AI xử lý ảnh; mô hình thí điểm giám sát nông nghiệp và an ninh.</w:t>
            </w:r>
          </w:p>
        </w:tc>
        <w:tc>
          <w:tcPr>
            <w:vAlign w:val="center"/>
          </w:tcPr>
          <w:p w:rsidR="00000000" w:rsidDel="00000000" w:rsidP="00000000" w:rsidRDefault="00000000" w:rsidRPr="00000000" w14:paraId="000003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30.000</w:t>
            </w:r>
          </w:p>
        </w:tc>
        <w:tc>
          <w:tcPr>
            <w:vAlign w:val="center"/>
          </w:tcPr>
          <w:p w:rsidR="00000000" w:rsidDel="00000000" w:rsidP="00000000" w:rsidRDefault="00000000" w:rsidRPr="00000000" w14:paraId="000003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vMerge w:val="continue"/>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Sơn La</w:t>
            </w:r>
          </w:p>
        </w:tc>
        <w:tc>
          <w:tcPr/>
          <w:p w:rsidR="00000000" w:rsidDel="00000000" w:rsidP="00000000" w:rsidRDefault="00000000" w:rsidRPr="00000000" w14:paraId="000003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phát triển nền tảng logistics thông minh tích hợp dữ liệu và tối ưu vận tải cho chuỗi cung ứng nông sản tỉnh Sơn La</w:t>
            </w:r>
          </w:p>
        </w:tc>
        <w:tc>
          <w:tcPr>
            <w:gridSpan w:val="2"/>
          </w:tcPr>
          <w:p w:rsidR="00000000" w:rsidDel="00000000" w:rsidP="00000000" w:rsidRDefault="00000000" w:rsidRPr="00000000" w14:paraId="000003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nền tảng logistics thông minh hỗ trợ tối ưu hóa vận tải, kết nối các chủ thể chuỗi cung ứng, giảm chi phí.</w:t>
            </w:r>
          </w:p>
        </w:tc>
        <w:tc>
          <w:tcPr/>
          <w:p w:rsidR="00000000" w:rsidDel="00000000" w:rsidP="00000000" w:rsidRDefault="00000000" w:rsidRPr="00000000" w14:paraId="000003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 nền tảng logistics thông minh; mô-đun dự báo sản lượng và tối ưu tuyến; cơ sở dữ liệu logistics nông sản cấp tỉnh.</w:t>
            </w:r>
          </w:p>
        </w:tc>
        <w:tc>
          <w:tcPr>
            <w:vAlign w:val="center"/>
          </w:tcPr>
          <w:p w:rsidR="00000000" w:rsidDel="00000000" w:rsidP="00000000" w:rsidRDefault="00000000" w:rsidRPr="00000000" w14:paraId="0000030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w:t>
            </w:r>
          </w:p>
        </w:tc>
        <w:tc>
          <w:tcPr>
            <w:vAlign w:val="center"/>
          </w:tcPr>
          <w:p w:rsidR="00000000" w:rsidDel="00000000" w:rsidP="00000000" w:rsidRDefault="00000000" w:rsidRPr="00000000" w14:paraId="000003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p w:rsidR="00000000" w:rsidDel="00000000" w:rsidP="00000000" w:rsidRDefault="00000000" w:rsidRPr="00000000" w14:paraId="000003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918/SKHCN-KH&amp;CN ngày 24/04/2026</w:t>
            </w:r>
          </w:p>
        </w:tc>
      </w:tr>
      <w:tr>
        <w:trPr>
          <w:cantSplit w:val="0"/>
          <w:tblHeader w:val="0"/>
        </w:trPr>
        <w:tc>
          <w:tcPr>
            <w:vMerge w:val="restart"/>
          </w:tcPr>
          <w:p w:rsidR="00000000" w:rsidDel="00000000" w:rsidP="00000000" w:rsidRDefault="00000000" w:rsidRPr="00000000" w14:paraId="000003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restart"/>
          </w:tcPr>
          <w:p w:rsidR="00000000" w:rsidDel="00000000" w:rsidP="00000000" w:rsidRDefault="00000000" w:rsidRPr="00000000" w14:paraId="000003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Quảng Ngãi</w:t>
            </w:r>
          </w:p>
        </w:tc>
        <w:tc>
          <w:tcPr/>
          <w:p w:rsidR="00000000" w:rsidDel="00000000" w:rsidP="00000000" w:rsidRDefault="00000000" w:rsidRPr="00000000" w14:paraId="000003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cơ sở dữ liệu tổng thể kinh tế - xã hội của tỉnh Quảng Ngãi</w:t>
            </w:r>
          </w:p>
        </w:tc>
        <w:tc>
          <w:tcPr>
            <w:gridSpan w:val="2"/>
          </w:tcPr>
          <w:p w:rsidR="00000000" w:rsidDel="00000000" w:rsidP="00000000" w:rsidRDefault="00000000" w:rsidRPr="00000000" w14:paraId="000003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kho dữ liệu dùng chung cấp tỉnh đồng bộ, phục vụ chỉ đạo điều hành và quản trị xã hội dựa trên dữ liệu.</w:t>
            </w:r>
          </w:p>
        </w:tc>
        <w:tc>
          <w:tcPr/>
          <w:p w:rsidR="00000000" w:rsidDel="00000000" w:rsidP="00000000" w:rsidRDefault="00000000" w:rsidRPr="00000000" w14:paraId="000003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Kiến trúc tổng thể CSDL kinh tế-xã hội; kho dữ liệu dùng chung; công cụ dashboard điều hành thông minh.</w:t>
            </w:r>
          </w:p>
        </w:tc>
        <w:tc>
          <w:tcPr>
            <w:vAlign w:val="center"/>
          </w:tcPr>
          <w:p w:rsidR="00000000" w:rsidDel="00000000" w:rsidP="00000000" w:rsidRDefault="00000000" w:rsidRPr="00000000" w14:paraId="000003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3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Merge w:val="restart"/>
          </w:tcPr>
          <w:p w:rsidR="00000000" w:rsidDel="00000000" w:rsidP="00000000" w:rsidRDefault="00000000" w:rsidRPr="00000000" w14:paraId="000003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1924/SKHCN-CN&amp;CN</w:t>
            </w:r>
          </w:p>
        </w:tc>
      </w:tr>
      <w:tr>
        <w:trPr>
          <w:cantSplit w:val="0"/>
          <w:tblHeader w:val="0"/>
        </w:trPr>
        <w:tc>
          <w:tcPr>
            <w:vMerge w:val="continue"/>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hóa dữ liệu Đất đai theo 2959/QĐ-BTNMT tỉnh Quảng Ngãi</w:t>
            </w:r>
          </w:p>
        </w:tc>
        <w:tc>
          <w:tcPr>
            <w:gridSpan w:val="2"/>
          </w:tcPr>
          <w:p w:rsidR="00000000" w:rsidDel="00000000" w:rsidP="00000000" w:rsidRDefault="00000000" w:rsidRPr="00000000" w14:paraId="000003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Hoàn thiện CSDL đất đai đồng bộ, thống nhất toàn tỉnh; đảm bảo dữ liệu đúng, sạch, sẵn sàng khai thác.</w:t>
            </w:r>
          </w:p>
        </w:tc>
        <w:tc>
          <w:tcPr/>
          <w:p w:rsidR="00000000" w:rsidDel="00000000" w:rsidP="00000000" w:rsidRDefault="00000000" w:rsidRPr="00000000" w14:paraId="000003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hóa và chuẩn hóa 100% dữ liệu địa chính; hệ thống thông tin đất đai tập trung; kết nối CSDL dân cư và thuế.</w:t>
            </w:r>
          </w:p>
        </w:tc>
        <w:tc>
          <w:tcPr>
            <w:vAlign w:val="center"/>
          </w:tcPr>
          <w:p w:rsidR="00000000" w:rsidDel="00000000" w:rsidP="00000000" w:rsidRDefault="00000000" w:rsidRPr="00000000" w14:paraId="0000032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32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Merge w:val="continue"/>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và triển khai Hệ thống giám sát và truy xuất nguồn gốc nông sản tỉnh Quảng Ngãi</w:t>
            </w:r>
          </w:p>
        </w:tc>
        <w:tc>
          <w:tcPr>
            <w:gridSpan w:val="2"/>
          </w:tcPr>
          <w:p w:rsidR="00000000" w:rsidDel="00000000" w:rsidP="00000000" w:rsidRDefault="00000000" w:rsidRPr="00000000" w14:paraId="000003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hóa dữ liệu và xây dựng hệ thống truy xuất nguồn gốc đồng bộ tích hợp mã số vùng trồng và cơ sở đóng gói.</w:t>
            </w:r>
          </w:p>
        </w:tc>
        <w:tc>
          <w:tcPr/>
          <w:p w:rsidR="00000000" w:rsidDel="00000000" w:rsidP="00000000" w:rsidRDefault="00000000" w:rsidRPr="00000000" w14:paraId="000003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 nền tảng phần mềm; 01 cơ sở dữ liệu; 01 hệ thống QR truy xuất nguồn gốc.</w:t>
            </w:r>
          </w:p>
        </w:tc>
        <w:tc>
          <w:tcPr>
            <w:vAlign w:val="center"/>
          </w:tcPr>
          <w:p w:rsidR="00000000" w:rsidDel="00000000" w:rsidP="00000000" w:rsidRDefault="00000000" w:rsidRPr="00000000" w14:paraId="0000032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w:t>
            </w:r>
          </w:p>
        </w:tc>
        <w:tc>
          <w:tcPr>
            <w:vAlign w:val="center"/>
          </w:tcPr>
          <w:p w:rsidR="00000000" w:rsidDel="00000000" w:rsidP="00000000" w:rsidRDefault="00000000" w:rsidRPr="00000000" w14:paraId="0000032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ứng dụng trí tuệ nhân tạo trong Dự báo tình hình phát sinh sinh vật gây hại cây trồng</w:t>
            </w:r>
          </w:p>
        </w:tc>
        <w:tc>
          <w:tcPr>
            <w:gridSpan w:val="2"/>
          </w:tcPr>
          <w:p w:rsidR="00000000" w:rsidDel="00000000" w:rsidP="00000000" w:rsidRDefault="00000000" w:rsidRPr="00000000" w14:paraId="000003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hệ thống AI dự báo chính xác tình hình dịch hại cây trồng phục vụ chỉ đạo sản xuất.</w:t>
            </w:r>
          </w:p>
        </w:tc>
        <w:tc>
          <w:tcPr/>
          <w:p w:rsidR="00000000" w:rsidDel="00000000" w:rsidP="00000000" w:rsidRDefault="00000000" w:rsidRPr="00000000" w14:paraId="000003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 hệ thống AI dự báo; 01 ứng dụng cảnh báo trên di động; 01 cơ sở dữ liệu dịch hại.</w:t>
            </w:r>
          </w:p>
        </w:tc>
        <w:tc>
          <w:tcPr>
            <w:vAlign w:val="center"/>
          </w:tcPr>
          <w:p w:rsidR="00000000" w:rsidDel="00000000" w:rsidP="00000000" w:rsidRDefault="00000000" w:rsidRPr="00000000" w14:paraId="000003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9.000</w:t>
            </w:r>
          </w:p>
        </w:tc>
        <w:tc>
          <w:tcPr>
            <w:vAlign w:val="center"/>
          </w:tcPr>
          <w:p w:rsidR="00000000" w:rsidDel="00000000" w:rsidP="00000000" w:rsidRDefault="00000000" w:rsidRPr="00000000" w14:paraId="0000033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48 - 60</w:t>
            </w:r>
          </w:p>
        </w:tc>
        <w:tc>
          <w:tcPr>
            <w:vMerge w:val="continue"/>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vMerge w:val="restart"/>
          </w:tcPr>
          <w:p w:rsidR="00000000" w:rsidDel="00000000" w:rsidP="00000000" w:rsidRDefault="00000000" w:rsidRPr="00000000" w14:paraId="000003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Vĩnh Long</w:t>
            </w:r>
          </w:p>
        </w:tc>
        <w:tc>
          <w:tcPr/>
          <w:p w:rsidR="00000000" w:rsidDel="00000000" w:rsidP="00000000" w:rsidRDefault="00000000" w:rsidRPr="00000000" w14:paraId="000003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đặc trưng vật liệu và đề xuất giải pháp sử dụng cát biển trong bê tông hạt nhỏ phục vụ xây dựng hạ tầng</w:t>
            </w:r>
          </w:p>
        </w:tc>
        <w:tc>
          <w:tcPr>
            <w:gridSpan w:val="2"/>
          </w:tcPr>
          <w:p w:rsidR="00000000" w:rsidDel="00000000" w:rsidP="00000000" w:rsidRDefault="00000000" w:rsidRPr="00000000" w14:paraId="000003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Tìm giải pháp cải tạo tính chất cát biển vùng ĐBSCL phục vụ xây dựng công trình hạ tầng đường giao thông nông thôn.</w:t>
            </w:r>
          </w:p>
        </w:tc>
        <w:tc>
          <w:tcPr/>
          <w:p w:rsidR="00000000" w:rsidDel="00000000" w:rsidP="00000000" w:rsidRDefault="00000000" w:rsidRPr="00000000" w14:paraId="000003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trình tiền xử lý cát biển; cấp phối bê tông hạt nhỏ sử dụng cát biển; mô hình dự báo độ bền; dự thảo hướng dẫn kỹ thuật.</w:t>
            </w:r>
          </w:p>
        </w:tc>
        <w:tc>
          <w:tcPr>
            <w:vAlign w:val="center"/>
          </w:tcPr>
          <w:p w:rsidR="00000000" w:rsidDel="00000000" w:rsidP="00000000" w:rsidRDefault="00000000" w:rsidRPr="00000000" w14:paraId="0000033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2.340</w:t>
            </w:r>
          </w:p>
        </w:tc>
        <w:tc>
          <w:tcPr>
            <w:vAlign w:val="center"/>
          </w:tcPr>
          <w:p w:rsidR="00000000" w:rsidDel="00000000" w:rsidP="00000000" w:rsidRDefault="00000000" w:rsidRPr="00000000" w14:paraId="0000033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Merge w:val="restart"/>
          </w:tcPr>
          <w:p w:rsidR="00000000" w:rsidDel="00000000" w:rsidP="00000000" w:rsidRDefault="00000000" w:rsidRPr="00000000" w14:paraId="000003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1890/SKHCN-KHCN ngày 25/04/2026</w:t>
            </w:r>
          </w:p>
        </w:tc>
      </w:tr>
      <w:tr>
        <w:trPr>
          <w:cantSplit w:val="0"/>
          <w:tblHeader w:val="0"/>
        </w:trPr>
        <w:tc>
          <w:tcPr>
            <w:vMerge w:val="continue"/>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chế tạo cấu kiện bê tông geopolymer tro bay đúc sẵn kháng xâm thực clorua cho vùng ven biển</w:t>
            </w:r>
          </w:p>
        </w:tc>
        <w:tc>
          <w:tcPr>
            <w:gridSpan w:val="2"/>
          </w:tcPr>
          <w:p w:rsidR="00000000" w:rsidDel="00000000" w:rsidP="00000000" w:rsidRDefault="00000000" w:rsidRPr="00000000" w14:paraId="000003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cấp phối và chế tạo các cấu kiện bê tông geopolymer tro bay chịu môi trường xâm nhập mặn.</w:t>
            </w:r>
          </w:p>
        </w:tc>
        <w:tc>
          <w:tcPr/>
          <w:p w:rsidR="00000000" w:rsidDel="00000000" w:rsidP="00000000" w:rsidRDefault="00000000" w:rsidRPr="00000000" w14:paraId="000003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trình chế tạo; 05 - 10 cấu kiện bê tông đúc sẵn (tấm kè, cống, cọc); báo cáo đánh giá hiệu quả kinh tế.</w:t>
            </w:r>
          </w:p>
        </w:tc>
        <w:tc>
          <w:tcPr>
            <w:vAlign w:val="center"/>
          </w:tcPr>
          <w:p w:rsidR="00000000" w:rsidDel="00000000" w:rsidP="00000000" w:rsidRDefault="00000000" w:rsidRPr="00000000" w14:paraId="0000034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1.690</w:t>
            </w:r>
          </w:p>
        </w:tc>
        <w:tc>
          <w:tcPr>
            <w:vAlign w:val="center"/>
          </w:tcPr>
          <w:p w:rsidR="00000000" w:rsidDel="00000000" w:rsidP="00000000" w:rsidRDefault="00000000" w:rsidRPr="00000000" w14:paraId="0000034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Merge w:val="continue"/>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restart"/>
          </w:tcPr>
          <w:p w:rsidR="00000000" w:rsidDel="00000000" w:rsidP="00000000" w:rsidRDefault="00000000" w:rsidRPr="00000000" w14:paraId="000003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Lạng Sơn</w:t>
            </w:r>
          </w:p>
        </w:tc>
        <w:tc>
          <w:tcPr/>
          <w:p w:rsidR="00000000" w:rsidDel="00000000" w:rsidP="00000000" w:rsidRDefault="00000000" w:rsidRPr="00000000" w14:paraId="000003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ứng dụng UAV nhiệt trong việc giám sát diện tích rừng, phòng cháy chữa cháy rừng</w:t>
            </w:r>
          </w:p>
        </w:tc>
        <w:tc>
          <w:tcPr>
            <w:gridSpan w:val="2"/>
          </w:tcPr>
          <w:p w:rsidR="00000000" w:rsidDel="00000000" w:rsidP="00000000" w:rsidRDefault="00000000" w:rsidRPr="00000000" w14:paraId="000003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Giám sát rừng, đất lâm nghiệp, theo dõi diễn biến rừng, phát hiện sớm cháy rừng và lấn chiếm đất rừng bằng UAV.</w:t>
            </w:r>
          </w:p>
        </w:tc>
        <w:tc>
          <w:tcPr/>
          <w:p w:rsidR="00000000" w:rsidDel="00000000" w:rsidP="00000000" w:rsidRDefault="00000000" w:rsidRPr="00000000" w14:paraId="000003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UAV chuyên dụng (đa phổ, nhiệt); phần mềm giải đoán dữ liệu; cơ sở dữ liệu số hóa tài nguyên rừng.</w:t>
            </w:r>
          </w:p>
        </w:tc>
        <w:tc>
          <w:tcPr>
            <w:vAlign w:val="center"/>
          </w:tcPr>
          <w:p w:rsidR="00000000" w:rsidDel="00000000" w:rsidP="00000000" w:rsidRDefault="00000000" w:rsidRPr="00000000" w14:paraId="0000034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w:t>
            </w:r>
          </w:p>
        </w:tc>
        <w:tc>
          <w:tcPr>
            <w:vAlign w:val="center"/>
          </w:tcPr>
          <w:p w:rsidR="00000000" w:rsidDel="00000000" w:rsidP="00000000" w:rsidRDefault="00000000" w:rsidRPr="00000000" w14:paraId="0000034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12 - 18</w:t>
            </w:r>
          </w:p>
        </w:tc>
        <w:tc>
          <w:tcPr>
            <w:vMerge w:val="restart"/>
          </w:tcPr>
          <w:p w:rsidR="00000000" w:rsidDel="00000000" w:rsidP="00000000" w:rsidRDefault="00000000" w:rsidRPr="00000000" w14:paraId="000003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1014/UBND-KGVX ngày 25/04/2026</w:t>
            </w:r>
          </w:p>
        </w:tc>
      </w:tr>
      <w:tr>
        <w:trPr>
          <w:cantSplit w:val="0"/>
          <w:tblHeader w:val="0"/>
        </w:trPr>
        <w:tc>
          <w:tcPr>
            <w:vMerge w:val="continue"/>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mô hình tổng hợp số liệu sinh vật gây hại và diện tích cây trồng trên địa bàn tỉnh</w:t>
            </w:r>
          </w:p>
        </w:tc>
        <w:tc>
          <w:tcPr>
            <w:gridSpan w:val="2"/>
          </w:tcPr>
          <w:p w:rsidR="00000000" w:rsidDel="00000000" w:rsidP="00000000" w:rsidRDefault="00000000" w:rsidRPr="00000000" w14:paraId="000003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hệ thống quản lý dữ liệu tập trung nhằm nâng cao hiệu quả dự báo dịch hại và chỉ đạo sản xuất nông nghiệp.</w:t>
            </w:r>
          </w:p>
        </w:tc>
        <w:tc>
          <w:tcPr/>
          <w:p w:rsidR="00000000" w:rsidDel="00000000" w:rsidP="00000000" w:rsidRDefault="00000000" w:rsidRPr="00000000" w14:paraId="0000035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 phần mềm quản lý dữ liệu; 01 cơ sở dữ liệu số hóa; quy trình cập nhật và trích xuất báo cáo tự động.</w:t>
            </w:r>
          </w:p>
        </w:tc>
        <w:tc>
          <w:tcPr>
            <w:vAlign w:val="center"/>
          </w:tcPr>
          <w:p w:rsidR="00000000" w:rsidDel="00000000" w:rsidP="00000000" w:rsidRDefault="00000000" w:rsidRPr="00000000" w14:paraId="0000035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800</w:t>
            </w:r>
          </w:p>
        </w:tc>
        <w:tc>
          <w:tcPr>
            <w:vAlign w:val="center"/>
          </w:tcPr>
          <w:p w:rsidR="00000000" w:rsidDel="00000000" w:rsidP="00000000" w:rsidRDefault="00000000" w:rsidRPr="00000000" w14:paraId="0000035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vMerge w:val="continue"/>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hệ sinh thái giáo dục số thông minh (AI, Big Data) phục vụ đổi mới dạy học và quản trị giáo dục</w:t>
            </w:r>
          </w:p>
        </w:tc>
        <w:tc>
          <w:tcPr>
            <w:gridSpan w:val="2"/>
          </w:tcPr>
          <w:p w:rsidR="00000000" w:rsidDel="00000000" w:rsidP="00000000" w:rsidRDefault="00000000" w:rsidRPr="00000000" w14:paraId="000003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kho dữ liệu lớn giáo dục và các ứng dụng AI hỗ trợ chấm điểm, cá nhân hóa lộ trình học tập.</w:t>
            </w:r>
          </w:p>
        </w:tc>
        <w:tc>
          <w:tcPr/>
          <w:p w:rsidR="00000000" w:rsidDel="00000000" w:rsidP="00000000" w:rsidRDefault="00000000" w:rsidRPr="00000000" w14:paraId="000003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Nền tảng giáo dục số tích hợp; mô-đun AI hỗ trợ giảng dạy; mô hình trường học số/lớp học thông minh thí điểm.</w:t>
            </w:r>
          </w:p>
        </w:tc>
        <w:tc>
          <w:tcPr>
            <w:vAlign w:val="center"/>
          </w:tcPr>
          <w:p w:rsidR="00000000" w:rsidDel="00000000" w:rsidP="00000000" w:rsidRDefault="00000000" w:rsidRPr="00000000" w14:paraId="0000035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35.000</w:t>
            </w:r>
          </w:p>
        </w:tc>
        <w:tc>
          <w:tcPr>
            <w:vAlign w:val="center"/>
          </w:tcPr>
          <w:p w:rsidR="00000000" w:rsidDel="00000000" w:rsidP="00000000" w:rsidRDefault="00000000" w:rsidRPr="00000000" w14:paraId="0000036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sản phẩm công nghệ chiến lược (AI, Robot, UAV) phục vụ quản lý cửa khẩu thông minh và giám sát biên giới</w:t>
            </w:r>
          </w:p>
        </w:tc>
        <w:tc>
          <w:tcPr>
            <w:gridSpan w:val="2"/>
          </w:tcPr>
          <w:p w:rsidR="00000000" w:rsidDel="00000000" w:rsidP="00000000" w:rsidRDefault="00000000" w:rsidRPr="00000000" w14:paraId="000003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đại hóa logistics qua biên giới, giám sát an ninh trật tự biên giới và tài nguyên rừng bằng công nghệ cao.</w:t>
            </w:r>
          </w:p>
        </w:tc>
        <w:tc>
          <w:tcPr/>
          <w:p w:rsidR="00000000" w:rsidDel="00000000" w:rsidP="00000000" w:rsidRDefault="00000000" w:rsidRPr="00000000" w14:paraId="0000036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AI Camera xử lý tại biên; Robot di động tự hành (AGV/IGV) tại bến bãi; hệ thống UAV tự hành giám sát 24/7.</w:t>
            </w:r>
          </w:p>
        </w:tc>
        <w:tc>
          <w:tcPr>
            <w:vAlign w:val="center"/>
          </w:tcPr>
          <w:p w:rsidR="00000000" w:rsidDel="00000000" w:rsidP="00000000" w:rsidRDefault="00000000" w:rsidRPr="00000000" w14:paraId="0000036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65.000</w:t>
            </w:r>
          </w:p>
        </w:tc>
        <w:tc>
          <w:tcPr>
            <w:vAlign w:val="center"/>
          </w:tcPr>
          <w:p w:rsidR="00000000" w:rsidDel="00000000" w:rsidP="00000000" w:rsidRDefault="00000000" w:rsidRPr="00000000" w14:paraId="000003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vMerge w:val="restart"/>
          </w:tcPr>
          <w:p w:rsidR="00000000" w:rsidDel="00000000" w:rsidP="00000000" w:rsidRDefault="00000000" w:rsidRPr="00000000" w14:paraId="000003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Quảng Trị</w:t>
            </w:r>
          </w:p>
        </w:tc>
        <w:tc>
          <w:tcPr/>
          <w:p w:rsidR="00000000" w:rsidDel="00000000" w:rsidP="00000000" w:rsidRDefault="00000000" w:rsidRPr="00000000" w14:paraId="000003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giám sát thông minh tài nguyên rừng và đa dạng sinh học (AI, IoT, Viễn thám)</w:t>
            </w:r>
          </w:p>
        </w:tc>
        <w:tc>
          <w:tcPr>
            <w:gridSpan w:val="2"/>
          </w:tcPr>
          <w:p w:rsidR="00000000" w:rsidDel="00000000" w:rsidP="00000000" w:rsidRDefault="00000000" w:rsidRPr="00000000" w14:paraId="0000036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Nâng cao năng lực giám sát liên tục, phát hiện sớm mất rừng, cháy rừng và xâm nhập trái phép bằng công nghệ.</w:t>
            </w:r>
          </w:p>
        </w:tc>
        <w:tc>
          <w:tcPr/>
          <w:p w:rsidR="00000000" w:rsidDel="00000000" w:rsidP="00000000" w:rsidRDefault="00000000" w:rsidRPr="00000000" w14:paraId="0000037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phần mềm giám sát; 01 cơ sở dữ liệu GIS đa lớp; 50 trạm cảm biến IoT; thuật toán AI nhận diện biến động.</w:t>
            </w:r>
          </w:p>
        </w:tc>
        <w:tc>
          <w:tcPr>
            <w:vAlign w:val="center"/>
          </w:tcPr>
          <w:p w:rsidR="00000000" w:rsidDel="00000000" w:rsidP="00000000" w:rsidRDefault="00000000" w:rsidRPr="00000000" w14:paraId="0000037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4.000</w:t>
            </w:r>
          </w:p>
        </w:tc>
        <w:tc>
          <w:tcPr>
            <w:vAlign w:val="center"/>
          </w:tcPr>
          <w:p w:rsidR="00000000" w:rsidDel="00000000" w:rsidP="00000000" w:rsidRDefault="00000000" w:rsidRPr="00000000" w14:paraId="0000037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restart"/>
          </w:tcPr>
          <w:p w:rsidR="00000000" w:rsidDel="00000000" w:rsidP="00000000" w:rsidRDefault="00000000" w:rsidRPr="00000000" w14:paraId="000003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1388/SKHCN-QLCN&amp;ĐMST ngày 28/04/2026</w:t>
            </w:r>
          </w:p>
        </w:tc>
      </w:tr>
      <w:tr>
        <w:trPr>
          <w:cantSplit w:val="0"/>
          <w:tblHeader w:val="0"/>
        </w:trPr>
        <w:tc>
          <w:tcPr>
            <w:vMerge w:val="continue"/>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Mô hình du lịch sinh thái thông minh gắn với bảo tồn tài nguyên và thích ứng biến đổi khí hậu</w:t>
            </w:r>
          </w:p>
        </w:tc>
        <w:tc>
          <w:tcPr>
            <w:gridSpan w:val="2"/>
          </w:tcPr>
          <w:p w:rsidR="00000000" w:rsidDel="00000000" w:rsidP="00000000" w:rsidRDefault="00000000" w:rsidRPr="00000000" w14:paraId="000003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giải pháp công nghệ giám sát sức tải môi trường và điều tiết dòng khách du lịch tại các tuyến điểm.</w:t>
            </w:r>
          </w:p>
        </w:tc>
        <w:tc>
          <w:tcPr/>
          <w:p w:rsidR="00000000" w:rsidDel="00000000" w:rsidP="00000000" w:rsidRDefault="00000000" w:rsidRPr="00000000" w14:paraId="0000037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Nền tảng giám sát lưu lượng khách; báo cáo xác định sức tải môi trường; 01-02 mô hình thí điểm thông minh.</w:t>
            </w:r>
          </w:p>
        </w:tc>
        <w:tc>
          <w:tcPr>
            <w:vAlign w:val="center"/>
          </w:tcPr>
          <w:p w:rsidR="00000000" w:rsidDel="00000000" w:rsidP="00000000" w:rsidRDefault="00000000" w:rsidRPr="00000000" w14:paraId="0000037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w:t>
            </w:r>
          </w:p>
        </w:tc>
        <w:tc>
          <w:tcPr>
            <w:vAlign w:val="center"/>
          </w:tcPr>
          <w:p w:rsidR="00000000" w:rsidDel="00000000" w:rsidP="00000000" w:rsidRDefault="00000000" w:rsidRPr="00000000" w14:paraId="000003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vMerge w:val="continue"/>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Triển khai Học bạ số cho các cơ sở giáo dục trên địa bàn tỉnh Quảng Trị</w:t>
            </w:r>
          </w:p>
        </w:tc>
        <w:tc>
          <w:tcPr>
            <w:gridSpan w:val="2"/>
          </w:tcPr>
          <w:p w:rsidR="00000000" w:rsidDel="00000000" w:rsidP="00000000" w:rsidRDefault="00000000" w:rsidRPr="00000000" w14:paraId="000003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Thay thế học bạ giấy, nâng cao hiệu quả quản lý, đảm bảo tính minh bạch và khả năng liên thông dữ liệu quốc gia.</w:t>
            </w:r>
          </w:p>
        </w:tc>
        <w:tc>
          <w:tcPr/>
          <w:p w:rsidR="00000000" w:rsidDel="00000000" w:rsidP="00000000" w:rsidRDefault="00000000" w:rsidRPr="00000000" w14:paraId="000003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Học bạ số thống nhất toàn tỉnh; 100% học sinh được cấp học bạ số có tích hợp chữ ký số pháp lý.</w:t>
            </w:r>
          </w:p>
        </w:tc>
        <w:tc>
          <w:tcPr>
            <w:vAlign w:val="center"/>
          </w:tcPr>
          <w:p w:rsidR="00000000" w:rsidDel="00000000" w:rsidP="00000000" w:rsidRDefault="00000000" w:rsidRPr="00000000" w14:paraId="0000038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5.000 - 10.000</w:t>
            </w:r>
          </w:p>
        </w:tc>
        <w:tc>
          <w:tcPr>
            <w:vAlign w:val="center"/>
          </w:tcPr>
          <w:p w:rsidR="00000000" w:rsidDel="00000000" w:rsidP="00000000" w:rsidRDefault="00000000" w:rsidRPr="00000000" w14:paraId="0000038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24 - 36</w:t>
            </w:r>
          </w:p>
        </w:tc>
        <w:tc>
          <w:tcPr>
            <w:vMerge w:val="continue"/>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8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Đầu tư công nghệ phòng học thông minh tỉnh Quảng Trị</w:t>
            </w:r>
          </w:p>
        </w:tc>
        <w:tc>
          <w:tcPr>
            <w:gridSpan w:val="2"/>
          </w:tcPr>
          <w:p w:rsidR="00000000" w:rsidDel="00000000" w:rsidP="00000000" w:rsidRDefault="00000000" w:rsidRPr="00000000" w14:paraId="000003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mô hình phòng học chuẩn ứng dụng AI, IoT hỗ trợ dạy học tương tác và STEM.</w:t>
            </w:r>
          </w:p>
        </w:tc>
        <w:tc>
          <w:tcPr/>
          <w:p w:rsidR="00000000" w:rsidDel="00000000" w:rsidP="00000000" w:rsidRDefault="00000000" w:rsidRPr="00000000" w14:paraId="000003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30 - 50 phòng học thông minh; hệ thống LMS và AI hỗ trợ giảng dạy; bộ tiêu chuẩn phòng học thông minh.</w:t>
            </w:r>
          </w:p>
        </w:tc>
        <w:tc>
          <w:tcPr>
            <w:vAlign w:val="center"/>
          </w:tcPr>
          <w:p w:rsidR="00000000" w:rsidDel="00000000" w:rsidP="00000000" w:rsidRDefault="00000000" w:rsidRPr="00000000" w14:paraId="000003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25.000 - 40.000</w:t>
            </w:r>
          </w:p>
        </w:tc>
        <w:tc>
          <w:tcPr>
            <w:vAlign w:val="center"/>
          </w:tcPr>
          <w:p w:rsidR="00000000" w:rsidDel="00000000" w:rsidP="00000000" w:rsidRDefault="00000000" w:rsidRPr="00000000" w14:paraId="0000038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Bắc Ninh</w:t>
            </w:r>
          </w:p>
        </w:tc>
        <w:tc>
          <w:tcPr/>
          <w:p w:rsidR="00000000" w:rsidDel="00000000" w:rsidP="00000000" w:rsidRDefault="00000000" w:rsidRPr="00000000" w14:paraId="000003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nền tảng số công nghệ IoT, AI, Digital twin để giám sát và cảnh báo ô nhiễm môi trường không khí</w:t>
            </w:r>
          </w:p>
        </w:tc>
        <w:tc>
          <w:tcPr>
            <w:gridSpan w:val="2"/>
          </w:tcPr>
          <w:p w:rsidR="00000000" w:rsidDel="00000000" w:rsidP="00000000" w:rsidRDefault="00000000" w:rsidRPr="00000000" w14:paraId="000003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nền tảng quản lý môi trường thông minh cho phép giám sát thời gian thực và dự báo điểm nóng ô nhiễm.</w:t>
            </w:r>
          </w:p>
        </w:tc>
        <w:tc>
          <w:tcPr/>
          <w:p w:rsidR="00000000" w:rsidDel="00000000" w:rsidP="00000000" w:rsidRDefault="00000000" w:rsidRPr="00000000" w14:paraId="0000039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Nền tảng Quản lý môi trường (Web/Mobile); Dashboard điều hành; bản đồ số môi trường; mô hình Digital Twin 3D.</w:t>
            </w:r>
          </w:p>
        </w:tc>
        <w:tc>
          <w:tcPr>
            <w:vAlign w:val="center"/>
          </w:tcPr>
          <w:p w:rsidR="00000000" w:rsidDel="00000000" w:rsidP="00000000" w:rsidRDefault="00000000" w:rsidRPr="00000000" w14:paraId="0000039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116.000</w:t>
            </w:r>
          </w:p>
        </w:tc>
        <w:tc>
          <w:tcPr>
            <w:vAlign w:val="center"/>
          </w:tcPr>
          <w:p w:rsidR="00000000" w:rsidDel="00000000" w:rsidP="00000000" w:rsidRDefault="00000000" w:rsidRPr="00000000" w14:paraId="0000039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24 - 36</w:t>
            </w:r>
          </w:p>
        </w:tc>
        <w:tc>
          <w:tcPr/>
          <w:p w:rsidR="00000000" w:rsidDel="00000000" w:rsidP="00000000" w:rsidRDefault="00000000" w:rsidRPr="00000000" w14:paraId="000003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1594/SKHCN-CNST ngày 21/04/2026</w:t>
            </w:r>
          </w:p>
        </w:tc>
      </w:tr>
      <w:tr>
        <w:trPr>
          <w:cantSplit w:val="0"/>
          <w:tblHeader w:val="0"/>
        </w:trPr>
        <w:tc>
          <w:tcPr>
            <w:vMerge w:val="restart"/>
          </w:tcPr>
          <w:p w:rsidR="00000000" w:rsidDel="00000000" w:rsidP="00000000" w:rsidRDefault="00000000" w:rsidRPr="00000000" w14:paraId="000003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vMerge w:val="restart"/>
          </w:tcPr>
          <w:p w:rsidR="00000000" w:rsidDel="00000000" w:rsidP="00000000" w:rsidRDefault="00000000" w:rsidRPr="00000000" w14:paraId="000003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Đà Nẵng</w:t>
            </w:r>
          </w:p>
        </w:tc>
        <w:tc>
          <w:tcPr/>
          <w:p w:rsidR="00000000" w:rsidDel="00000000" w:rsidP="00000000" w:rsidRDefault="00000000" w:rsidRPr="00000000" w14:paraId="000003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Thí điểm Bản sao số trên địa bàn thành phố Đà Nẵng</w:t>
            </w:r>
          </w:p>
        </w:tc>
        <w:tc>
          <w:tcPr>
            <w:gridSpan w:val="2"/>
          </w:tcPr>
          <w:p w:rsidR="00000000" w:rsidDel="00000000" w:rsidP="00000000" w:rsidRDefault="00000000" w:rsidRPr="00000000" w14:paraId="0000039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hệ sinh thái bản sao số toàn diện lãnh thổ để theo dõi, mô phỏng và dự báo đô thị theo thời gian thực.</w:t>
            </w:r>
          </w:p>
        </w:tc>
        <w:tc>
          <w:tcPr/>
          <w:p w:rsidR="00000000" w:rsidDel="00000000" w:rsidP="00000000" w:rsidRDefault="00000000" w:rsidRPr="00000000" w14:paraId="0000039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đồ số 4D; Digital ID cho tài sản công; hệ thống mô phỏng kịch bản ngập lụt; mô hình 3D di sản (LOD3).</w:t>
            </w:r>
          </w:p>
        </w:tc>
        <w:tc>
          <w:tcPr>
            <w:vAlign w:val="center"/>
          </w:tcPr>
          <w:p w:rsidR="00000000" w:rsidDel="00000000" w:rsidP="00000000" w:rsidRDefault="00000000" w:rsidRPr="00000000" w14:paraId="0000039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150.000</w:t>
            </w:r>
          </w:p>
        </w:tc>
        <w:tc>
          <w:tcPr>
            <w:vAlign w:val="center"/>
          </w:tcPr>
          <w:p w:rsidR="00000000" w:rsidDel="00000000" w:rsidP="00000000" w:rsidRDefault="00000000" w:rsidRPr="00000000" w14:paraId="0000039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48 - 60</w:t>
            </w:r>
          </w:p>
        </w:tc>
        <w:tc>
          <w:tcPr>
            <w:vMerge w:val="restart"/>
          </w:tcPr>
          <w:p w:rsidR="00000000" w:rsidDel="00000000" w:rsidP="00000000" w:rsidRDefault="00000000" w:rsidRPr="00000000" w14:paraId="000003A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3020/UBND-SKHCN ngày 21/04/2026</w:t>
            </w:r>
          </w:p>
        </w:tc>
      </w:tr>
      <w:tr>
        <w:trPr>
          <w:cantSplit w:val="0"/>
          <w:tblHeader w:val="0"/>
        </w:trPr>
        <w:tc>
          <w:tcPr>
            <w:vMerge w:val="continue"/>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hạ tầng mạng Blockchain làm nền tảng dùng chung thành phố Đà Nẵng</w:t>
            </w:r>
          </w:p>
        </w:tc>
        <w:tc>
          <w:tcPr>
            <w:gridSpan w:val="2"/>
          </w:tcPr>
          <w:p w:rsidR="00000000" w:rsidDel="00000000" w:rsidP="00000000" w:rsidRDefault="00000000" w:rsidRPr="00000000" w14:paraId="000003A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lớp tin cậy số làm hạ tầng nền (Layer 1) để các ứng dụng số kết nối và tương tác an toàn.</w:t>
            </w:r>
          </w:p>
        </w:tc>
        <w:tc>
          <w:tcPr/>
          <w:p w:rsidR="00000000" w:rsidDel="00000000" w:rsidP="00000000" w:rsidRDefault="00000000" w:rsidRPr="00000000" w14:paraId="000003A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Mạng DNC-Chain cấp thành phố; cổng thông tin nhà phát triển; 20 dự án ứng dụng (dApp) thí điểm.</w:t>
            </w:r>
          </w:p>
        </w:tc>
        <w:tc>
          <w:tcPr>
            <w:vAlign w:val="center"/>
          </w:tcPr>
          <w:p w:rsidR="00000000" w:rsidDel="00000000" w:rsidP="00000000" w:rsidRDefault="00000000" w:rsidRPr="00000000" w14:paraId="000003A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62.800</w:t>
            </w:r>
          </w:p>
        </w:tc>
        <w:tc>
          <w:tcPr>
            <w:vAlign w:val="center"/>
          </w:tcPr>
          <w:p w:rsidR="00000000" w:rsidDel="00000000" w:rsidP="00000000" w:rsidRDefault="00000000" w:rsidRPr="00000000" w14:paraId="000003A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48 - 60</w:t>
            </w:r>
          </w:p>
        </w:tc>
        <w:tc>
          <w:tcPr>
            <w:vMerge w:val="continue"/>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Thiết kế và chế tạo vi mạch tích hợp (IC) chuyên dụng</w:t>
            </w:r>
          </w:p>
        </w:tc>
        <w:tc>
          <w:tcPr>
            <w:gridSpan w:val="2"/>
          </w:tcPr>
          <w:p w:rsidR="00000000" w:rsidDel="00000000" w:rsidP="00000000" w:rsidRDefault="00000000" w:rsidRPr="00000000" w14:paraId="000003A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chủ công nghệ thiết kế chip ASIC cho các lĩnh vực IoT, AI edge, giảm phụ thuộc nhập khẩu.</w:t>
            </w:r>
          </w:p>
        </w:tc>
        <w:tc>
          <w:tcPr/>
          <w:p w:rsidR="00000000" w:rsidDel="00000000" w:rsidP="00000000" w:rsidRDefault="00000000" w:rsidRPr="00000000" w14:paraId="000003A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Mẫu vi mạch prototype (ASIC); bộ tài liệu thiết kế GDSII; đào tạo 20-30 kỹ sư thiết kế vi mạch chuyên sâu.</w:t>
            </w:r>
          </w:p>
        </w:tc>
        <w:tc>
          <w:tcPr>
            <w:vAlign w:val="center"/>
          </w:tcPr>
          <w:p w:rsidR="00000000" w:rsidDel="00000000" w:rsidP="00000000" w:rsidRDefault="00000000" w:rsidRPr="00000000" w14:paraId="000003B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60.000</w:t>
            </w:r>
          </w:p>
        </w:tc>
        <w:tc>
          <w:tcPr>
            <w:vAlign w:val="center"/>
          </w:tcPr>
          <w:p w:rsidR="00000000" w:rsidDel="00000000" w:rsidP="00000000" w:rsidRDefault="00000000" w:rsidRPr="00000000" w14:paraId="000003B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Merge w:val="restart"/>
          </w:tcPr>
          <w:p w:rsidR="00000000" w:rsidDel="00000000" w:rsidP="00000000" w:rsidRDefault="00000000" w:rsidRPr="00000000" w14:paraId="000003B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Đồng Tháp</w:t>
            </w:r>
          </w:p>
        </w:tc>
        <w:tc>
          <w:tcPr/>
          <w:p w:rsidR="00000000" w:rsidDel="00000000" w:rsidP="00000000" w:rsidRDefault="00000000" w:rsidRPr="00000000" w14:paraId="000003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đồ số vùng nguyên liệu và truy xuất nguồn gốc nông sản chủ lực tỉnh Đồng Tháp</w:t>
            </w:r>
          </w:p>
        </w:tc>
        <w:tc>
          <w:tcPr>
            <w:gridSpan w:val="2"/>
          </w:tcPr>
          <w:p w:rsidR="00000000" w:rsidDel="00000000" w:rsidP="00000000" w:rsidRDefault="00000000" w:rsidRPr="00000000" w14:paraId="000003B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nền tảng dữ liệu nông nghiệp số thống nhất, tích hợp dữ liệu thổ nhưỡng, mùa vụ và mã số vùng trồng.</w:t>
            </w:r>
          </w:p>
        </w:tc>
        <w:tc>
          <w:tcPr/>
          <w:p w:rsidR="00000000" w:rsidDel="00000000" w:rsidP="00000000" w:rsidRDefault="00000000" w:rsidRPr="00000000" w14:paraId="000003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đồ số vùng nguyên liệu (Web/App); hệ thống truy xuất nguồn gốc điện tử; số hóa 60-70% vùng trồng chủ lực.</w:t>
            </w:r>
          </w:p>
        </w:tc>
        <w:tc>
          <w:tcPr>
            <w:vAlign w:val="center"/>
          </w:tcPr>
          <w:p w:rsidR="00000000" w:rsidDel="00000000" w:rsidP="00000000" w:rsidRDefault="00000000" w:rsidRPr="00000000" w14:paraId="000003B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25.000</w:t>
            </w:r>
          </w:p>
        </w:tc>
        <w:tc>
          <w:tcPr>
            <w:vAlign w:val="center"/>
          </w:tcPr>
          <w:p w:rsidR="00000000" w:rsidDel="00000000" w:rsidP="00000000" w:rsidRDefault="00000000" w:rsidRPr="00000000" w14:paraId="000003B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vMerge w:val="restart"/>
          </w:tcPr>
          <w:p w:rsidR="00000000" w:rsidDel="00000000" w:rsidP="00000000" w:rsidRDefault="00000000" w:rsidRPr="00000000" w14:paraId="000003B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1155/UBND-KGVX ngày 21/04/2026</w:t>
            </w:r>
          </w:p>
        </w:tc>
      </w:tr>
      <w:tr>
        <w:trPr>
          <w:cantSplit w:val="0"/>
          <w:tblHeader w:val="0"/>
        </w:trPr>
        <w:tc>
          <w:tcPr>
            <w:vMerge w:val="continue"/>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Phát triển Logistics thông minh phục vụ nông nghiệp và thương mại điện tử</w:t>
            </w:r>
          </w:p>
        </w:tc>
        <w:tc>
          <w:tcPr>
            <w:gridSpan w:val="2"/>
          </w:tcPr>
          <w:p w:rsidR="00000000" w:rsidDel="00000000" w:rsidP="00000000" w:rsidRDefault="00000000" w:rsidRPr="00000000" w14:paraId="000003B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bản đồ số logistics tích hợp vùng nguyên liệu để tối ưu điều phối vận tải và giảm chi phí lưu thông.</w:t>
            </w:r>
          </w:p>
        </w:tc>
        <w:tc>
          <w:tcPr/>
          <w:p w:rsidR="00000000" w:rsidDel="00000000" w:rsidP="00000000" w:rsidRDefault="00000000" w:rsidRPr="00000000" w14:paraId="000003C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đồ số logistics (kho bãi, tuyến vận chuyển); hệ thống phân tích luồng hàng thông minh; giảm 10% chi phí logistics.</w:t>
            </w:r>
          </w:p>
        </w:tc>
        <w:tc>
          <w:tcPr>
            <w:vAlign w:val="center"/>
          </w:tcPr>
          <w:p w:rsidR="00000000" w:rsidDel="00000000" w:rsidP="00000000" w:rsidRDefault="00000000" w:rsidRPr="00000000" w14:paraId="000003C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w:t>
            </w:r>
          </w:p>
        </w:tc>
        <w:tc>
          <w:tcPr>
            <w:vAlign w:val="center"/>
          </w:tcPr>
          <w:p w:rsidR="00000000" w:rsidDel="00000000" w:rsidP="00000000" w:rsidRDefault="00000000" w:rsidRPr="00000000" w14:paraId="000003C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12 - 24</w:t>
            </w:r>
          </w:p>
        </w:tc>
        <w:tc>
          <w:tcPr>
            <w:vMerge w:val="continue"/>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C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Ứng dụng công nghệ chọn lọc gen cải thiện chất lượng giống và sinh sản nghịch vụ cá tra</w:t>
            </w:r>
          </w:p>
        </w:tc>
        <w:tc>
          <w:tcPr>
            <w:gridSpan w:val="2"/>
          </w:tcPr>
          <w:p w:rsidR="00000000" w:rsidDel="00000000" w:rsidP="00000000" w:rsidRDefault="00000000" w:rsidRPr="00000000" w14:paraId="000003C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Sử dụng công nghệ sinh học chọn lọc gen nâng cao tốc độ tăng trưởng và kháng bệnh cho giống cá tra.</w:t>
            </w:r>
          </w:p>
        </w:tc>
        <w:tc>
          <w:tcPr/>
          <w:p w:rsidR="00000000" w:rsidDel="00000000" w:rsidP="00000000" w:rsidRDefault="00000000" w:rsidRPr="00000000" w14:paraId="000003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Đàn cá bố mẹ 10-15 nghìn con; quy trình sinh sản mùa nghịch (200 triệu bột/năm); kích dục tố hHCG tái tổ hợp.</w:t>
            </w:r>
          </w:p>
        </w:tc>
        <w:tc>
          <w:tcPr>
            <w:vAlign w:val="center"/>
          </w:tcPr>
          <w:p w:rsidR="00000000" w:rsidDel="00000000" w:rsidP="00000000" w:rsidRDefault="00000000" w:rsidRPr="00000000" w14:paraId="000003C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60.000</w:t>
            </w:r>
          </w:p>
        </w:tc>
        <w:tc>
          <w:tcPr>
            <w:vAlign w:val="center"/>
          </w:tcPr>
          <w:p w:rsidR="00000000" w:rsidDel="00000000" w:rsidP="00000000" w:rsidRDefault="00000000" w:rsidRPr="00000000" w14:paraId="000003C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vMerge w:val="continue"/>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vMerge w:val="restart"/>
          </w:tcPr>
          <w:p w:rsidR="00000000" w:rsidDel="00000000" w:rsidP="00000000" w:rsidRDefault="00000000" w:rsidRPr="00000000" w14:paraId="000003C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Thái Nguyên</w:t>
            </w:r>
          </w:p>
        </w:tc>
        <w:tc>
          <w:tcPr/>
          <w:p w:rsidR="00000000" w:rsidDel="00000000" w:rsidP="00000000" w:rsidRDefault="00000000" w:rsidRPr="00000000" w14:paraId="000003D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 xuất nguồn gốc số ứng dụng blockchain, IoT và AI cho chè Thái Nguyên</w:t>
            </w:r>
          </w:p>
        </w:tc>
        <w:tc>
          <w:tcPr>
            <w:gridSpan w:val="2"/>
          </w:tcPr>
          <w:p w:rsidR="00000000" w:rsidDel="00000000" w:rsidP="00000000" w:rsidRDefault="00000000" w:rsidRPr="00000000" w14:paraId="000003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framework tích hợp IoT-Blockchain-AI để minh bạch hóa chuỗi cung ứng và bảo vệ thương hiệu chè.</w:t>
            </w:r>
          </w:p>
        </w:tc>
        <w:tc>
          <w:tcPr/>
          <w:p w:rsidR="00000000" w:rsidDel="00000000" w:rsidP="00000000" w:rsidRDefault="00000000" w:rsidRPr="00000000" w14:paraId="000003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Mô hình kiến trúc IoT-AI-Blockchain; hệ thống truy xuất nguồn gốc thực tế cho chè Thái Nguyên; API/SDK quản lý.</w:t>
            </w:r>
          </w:p>
        </w:tc>
        <w:tc>
          <w:tcPr>
            <w:vAlign w:val="center"/>
          </w:tcPr>
          <w:p w:rsidR="00000000" w:rsidDel="00000000" w:rsidP="00000000" w:rsidRDefault="00000000" w:rsidRPr="00000000" w14:paraId="000003D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50.000</w:t>
            </w:r>
          </w:p>
        </w:tc>
        <w:tc>
          <w:tcPr>
            <w:vAlign w:val="center"/>
          </w:tcPr>
          <w:p w:rsidR="00000000" w:rsidDel="00000000" w:rsidP="00000000" w:rsidRDefault="00000000" w:rsidRPr="00000000" w14:paraId="000003D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Merge w:val="restart"/>
          </w:tcPr>
          <w:p w:rsidR="00000000" w:rsidDel="00000000" w:rsidP="00000000" w:rsidRDefault="00000000" w:rsidRPr="00000000" w14:paraId="000003D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1220/SKHCN-QLKH ngày 22/04/2026; </w:t>
            </w:r>
          </w:p>
          <w:p w:rsidR="00000000" w:rsidDel="00000000" w:rsidP="00000000" w:rsidRDefault="00000000" w:rsidRPr="00000000" w14:paraId="000003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1229/SKHCN-QLKH ngày 23/04/2026</w:t>
            </w:r>
          </w:p>
        </w:tc>
      </w:tr>
      <w:tr>
        <w:trPr>
          <w:cantSplit w:val="0"/>
          <w:tblHeader w:val="0"/>
        </w:trPr>
        <w:tc>
          <w:tcPr>
            <w:vMerge w:val="continue"/>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Nghiên cứu, phát triển nền tảng AI công nghiệp và bản sao số cho các nhà máy sản xuất điện tử, cơ khí</w:t>
            </w:r>
          </w:p>
        </w:tc>
        <w:tc>
          <w:tcPr>
            <w:gridSpan w:val="2"/>
          </w:tcPr>
          <w:p w:rsidR="00000000" w:rsidDel="00000000" w:rsidP="00000000" w:rsidRDefault="00000000" w:rsidRPr="00000000" w14:paraId="000003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chủ công nghệ Digital Twin phục vụ đào tạo thực hành kỹ thuật cao sát với môi trường nhà máy thực tế.</w:t>
            </w:r>
          </w:p>
        </w:tc>
        <w:tc>
          <w:tcPr/>
          <w:p w:rsidR="00000000" w:rsidDel="00000000" w:rsidP="00000000" w:rsidRDefault="00000000" w:rsidRPr="00000000" w14:paraId="000003D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bản sao số nhà máy sản xuất xe điện; kịch bản thực hành VR/AR/XR; phần mềm mô phỏng Unreal/Omniverse.</w:t>
            </w:r>
          </w:p>
        </w:tc>
        <w:tc>
          <w:tcPr>
            <w:vAlign w:val="center"/>
          </w:tcPr>
          <w:p w:rsidR="00000000" w:rsidDel="00000000" w:rsidP="00000000" w:rsidRDefault="00000000" w:rsidRPr="00000000" w14:paraId="000003D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120.000</w:t>
            </w:r>
          </w:p>
        </w:tc>
        <w:tc>
          <w:tcPr>
            <w:vAlign w:val="center"/>
          </w:tcPr>
          <w:p w:rsidR="00000000" w:rsidDel="00000000" w:rsidP="00000000" w:rsidRDefault="00000000" w:rsidRPr="00000000" w14:paraId="000003D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Merge w:val="continue"/>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vMerge w:val="restart"/>
          </w:tcPr>
          <w:p w:rsidR="00000000" w:rsidDel="00000000" w:rsidP="00000000" w:rsidRDefault="00000000" w:rsidRPr="00000000" w14:paraId="000003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Cần Thơ</w:t>
            </w:r>
          </w:p>
        </w:tc>
        <w:tc>
          <w:tcPr/>
          <w:p w:rsidR="00000000" w:rsidDel="00000000" w:rsidP="00000000" w:rsidRDefault="00000000" w:rsidRPr="00000000" w14:paraId="000003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sinh thái UAV phục vụ kinh tế tầm thấp, nông nghiệp và quản trị đô thị thông minh</w:t>
            </w:r>
          </w:p>
        </w:tc>
        <w:tc>
          <w:tcPr>
            <w:gridSpan w:val="2"/>
          </w:tcPr>
          <w:p w:rsidR="00000000" w:rsidDel="00000000" w:rsidP="00000000" w:rsidRDefault="00000000" w:rsidRPr="00000000" w14:paraId="000003E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Thiết kế kiến trúc UAV dùng chung phục vụ nhận diện sâu bệnh, giám sát xả thải và trật tự xây dựng.</w:t>
            </w:r>
          </w:p>
        </w:tc>
        <w:tc>
          <w:tcPr/>
          <w:p w:rsidR="00000000" w:rsidDel="00000000" w:rsidP="00000000" w:rsidRDefault="00000000" w:rsidRPr="00000000" w14:paraId="000003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Nền tảng UAV dùng chung; hệ thống xử lý ảnh/video AI; bản đồ chuyên đề nông nghiệp và hạ tầng.</w:t>
            </w:r>
          </w:p>
        </w:tc>
        <w:tc>
          <w:tcPr>
            <w:vAlign w:val="center"/>
          </w:tcPr>
          <w:p w:rsidR="00000000" w:rsidDel="00000000" w:rsidP="00000000" w:rsidRDefault="00000000" w:rsidRPr="00000000" w14:paraId="000003E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w:t>
            </w:r>
          </w:p>
        </w:tc>
        <w:tc>
          <w:tcPr>
            <w:vAlign w:val="center"/>
          </w:tcPr>
          <w:p w:rsidR="00000000" w:rsidDel="00000000" w:rsidP="00000000" w:rsidRDefault="00000000" w:rsidRPr="00000000" w14:paraId="000003E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restart"/>
          </w:tcPr>
          <w:p w:rsidR="00000000" w:rsidDel="00000000" w:rsidP="00000000" w:rsidRDefault="00000000" w:rsidRPr="00000000" w14:paraId="000003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2025/UBND-KGVX ngày 22/04/2026</w:t>
            </w:r>
          </w:p>
        </w:tc>
      </w:tr>
      <w:tr>
        <w:trPr>
          <w:cantSplit w:val="0"/>
          <w:tblHeader w:val="0"/>
        </w:trPr>
        <w:tc>
          <w:tcPr>
            <w:vMerge w:val="continue"/>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Kiến trúc hạ tầng kết nối 5G dùng riêng, IoT quy mô lớn và thử nghiệm 6G</w:t>
            </w:r>
          </w:p>
        </w:tc>
        <w:tc>
          <w:tcPr>
            <w:gridSpan w:val="2"/>
          </w:tcPr>
          <w:p w:rsidR="00000000" w:rsidDel="00000000" w:rsidP="00000000" w:rsidRDefault="00000000" w:rsidRPr="00000000" w14:paraId="000003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Xây dựng hạ tầng kết nối băng thông rộng phục vụ khu công nghiệp và nông nghiệp công nghệ cao.</w:t>
            </w:r>
          </w:p>
        </w:tc>
        <w:tc>
          <w:tcPr/>
          <w:p w:rsidR="00000000" w:rsidDel="00000000" w:rsidP="00000000" w:rsidRDefault="00000000" w:rsidRPr="00000000" w14:paraId="000003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Hạ tầng 5G dùng riêng thí điểm; nền tảng IoT quản lý tập trung; hệ thống điện toán biên xử lý dữ liệu AI.</w:t>
            </w:r>
          </w:p>
        </w:tc>
        <w:tc>
          <w:tcPr>
            <w:vAlign w:val="center"/>
          </w:tcPr>
          <w:p w:rsidR="00000000" w:rsidDel="00000000" w:rsidP="00000000" w:rsidRDefault="00000000" w:rsidRPr="00000000" w14:paraId="000003F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6.000</w:t>
            </w:r>
          </w:p>
        </w:tc>
        <w:tc>
          <w:tcPr>
            <w:vAlign w:val="center"/>
          </w:tcPr>
          <w:p w:rsidR="00000000" w:rsidDel="00000000" w:rsidP="00000000" w:rsidRDefault="00000000" w:rsidRPr="00000000" w14:paraId="000003F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Nền tảng AI phục vụ hành chính công chủ động và hỗ trợ vận hành chính quyền dựa trên dữ liệu</w:t>
            </w:r>
          </w:p>
        </w:tc>
        <w:tc>
          <w:tcPr>
            <w:gridSpan w:val="2"/>
          </w:tcPr>
          <w:p w:rsidR="00000000" w:rsidDel="00000000" w:rsidP="00000000" w:rsidRDefault="00000000" w:rsidRPr="00000000" w14:paraId="000003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động hóa quy trình hướng dẫn, tiếp nhận hồ sơ và hỗ trợ cán bộ chuyên môn xử lý công việc thông minh.</w:t>
            </w:r>
          </w:p>
        </w:tc>
        <w:tc>
          <w:tcPr/>
          <w:p w:rsidR="00000000" w:rsidDel="00000000" w:rsidP="00000000" w:rsidRDefault="00000000" w:rsidRPr="00000000" w14:paraId="000003F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Nền tảng AI tiếng Việt cho hành chính công; kho tri thức số dùng chung; trợ lý AI hỗ trợ công chức.</w:t>
            </w:r>
          </w:p>
        </w:tc>
        <w:tc>
          <w:tcPr>
            <w:vAlign w:val="center"/>
          </w:tcPr>
          <w:p w:rsidR="00000000" w:rsidDel="00000000" w:rsidP="00000000" w:rsidRDefault="00000000" w:rsidRPr="00000000" w14:paraId="000003F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w:t>
            </w:r>
          </w:p>
        </w:tc>
        <w:tc>
          <w:tcPr>
            <w:vAlign w:val="center"/>
          </w:tcPr>
          <w:p w:rsidR="00000000" w:rsidDel="00000000" w:rsidP="00000000" w:rsidRDefault="00000000" w:rsidRPr="00000000" w14:paraId="000003F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Merge w:val="continue"/>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FC">
            <w:pP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3FD">
            <w:pPr>
              <w:jc w:val="both"/>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3FE">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Tổng cộng</w:t>
            </w:r>
          </w:p>
        </w:tc>
        <w:tc>
          <w:tcPr>
            <w:gridSpan w:val="2"/>
          </w:tcPr>
          <w:p w:rsidR="00000000" w:rsidDel="00000000" w:rsidP="00000000" w:rsidRDefault="00000000" w:rsidRPr="00000000" w14:paraId="000003FF">
            <w:pPr>
              <w:jc w:val="both"/>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401">
            <w:pPr>
              <w:jc w:val="both"/>
              <w:rPr>
                <w:rFonts w:ascii="Times New Roman" w:cs="Times New Roman" w:eastAsia="Times New Roman" w:hAnsi="Times New Roman"/>
                <w:b w:val="1"/>
                <w:bCs w:val="1"/>
                <w:sz w:val="28"/>
                <w:szCs w:val="28"/>
              </w:rPr>
            </w:pPr>
            <w:r w:rsidDel="00000000" w:rsidR="00000000" w:rsidRPr="00000000">
              <w:rPr>
                <w:rtl w:val="0"/>
              </w:rPr>
            </w:r>
          </w:p>
        </w:tc>
        <w:tc>
          <w:tcPr>
            <w:vAlign w:val="center"/>
          </w:tcPr>
          <w:p w:rsidR="00000000" w:rsidDel="00000000" w:rsidP="00000000" w:rsidRDefault="00000000" w:rsidRPr="00000000" w14:paraId="000004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1.436.130</w:t>
            </w:r>
          </w:p>
        </w:tc>
        <w:tc>
          <w:tcPr>
            <w:vAlign w:val="center"/>
          </w:tcPr>
          <w:p w:rsidR="00000000" w:rsidDel="00000000" w:rsidP="00000000" w:rsidRDefault="00000000" w:rsidRPr="00000000" w14:paraId="00000403">
            <w:pPr>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404">
            <w:pPr>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4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6">
      <w:pPr>
        <w:spacing w:line="360" w:lineRule="auto"/>
        <w:jc w:val="center"/>
        <w:rPr>
          <w:rFonts w:ascii="Times New Roman" w:cs="Times New Roman" w:eastAsia="Times New Roman" w:hAnsi="Times New Roman"/>
          <w:sz w:val="28"/>
          <w:szCs w:val="28"/>
        </w:rPr>
      </w:pPr>
      <w:r w:rsidDel="00000000" w:rsidR="00000000" w:rsidRPr="00000000">
        <w:rPr>
          <w:rtl w:val="0"/>
        </w:rPr>
      </w:r>
    </w:p>
    <w:sectPr>
      <w:type w:val="nextPage"/>
      <w:pgSz w:h="12240" w:w="15840" w:orient="landscape"/>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Đã sửa đổi bổ sung với Nghị quyết số 71/NQ-CP ngày 01/4/2025 và Nghị quyết 11/NQ-CP ngày 14/01/2026 của Chính phủ</w:t>
      </w:r>
    </w:p>
  </w:footnote>
  <w:footnote w:id="1">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Mô hình ngôn ngữ lớn và trợ lý ảo tiếng Việt; AI camera xử lý tại biên; Robot di động tự hành; Hệ thống và thiết bị mạng di động 5G; Hạ tầng mạng blockchain và các lớp ứng dụng truy xuất nguồn gốc, tài sản mã hóa; Thiết bị bay không người lái.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uatvietnam.vn/cong-nghiep/luat-cong-nghiep-cong-nghe-so-2025-so-71-2025-qh15-405695-d1.html" TargetMode="External"/><Relationship Id="rId10" Type="http://schemas.openxmlformats.org/officeDocument/2006/relationships/header" Target="header2.xml"/><Relationship Id="rId13" Type="http://schemas.openxmlformats.org/officeDocument/2006/relationships/hyperlink" Target="https://luatvietnam.vn/thuong-mai/luat-chat-luong-san-pham-hang-hoa-sua-doi-2025-so-78-2025-qh15-405699-d1.html" TargetMode="External"/><Relationship Id="rId12" Type="http://schemas.openxmlformats.org/officeDocument/2006/relationships/hyperlink" Target="https://luatvietnam.vn/khoa-hoc/luat-tieu-chuan-va-quy-chuan-ky-thuat-sua-doi-2025-so-70-2025-qh15-405697-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luatvietnam.vn/cong-nghiep/luat-nang-luong-nguyen-tu-2025-so-94-2025-qh15-405698-d1.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s://www.google.com/search?q=Lu%E1%BA%ADt+s%E1%BB%ADa+%C4%91%E1%BB%95i%2C+b%E1%BB%95+sung+c%C3%A1c+lu%E1%BA%ADt+v%E1%BB%81+%C4%91%E1%BA%A5u+th%E1%BA%A7u%2C+%C4%91%E1%BA%A7u+t%C6%B0%2C+h%E1%BA%A3i+quan%2C+thu%E1%BA%BF%2C+t%C3%A0i+s%E1%BA%A3n+c%C3%B4ng&amp;rlz=1C1PASC_enVN957VN957&amp;oq=C%C3%A1c+Lu%E1%BA%ADt+do+B%E1%BB%99+T%C3%A0i+ch%C3%ADnh+tham+m%C6%B0u+Qu%E1%BB%91c+h%E1%BB%99i+ban+h%C3%A0nh+n%C4%83m+2025&amp;gs_lcrp=EgZjaHJvbWUyBggAEEUYOTIHCAEQIRigAdIBCTE5NTY5ajBqNKgCA7ACAfEFIwxQKpmL2NQ&amp;sourceid=chrome&amp;ie=UTF-8&amp;mstk=AUtExfBKANjN44P1WEoZOLgDdysWV8efAaay3fdoY1KF4W2CXkDg1jKj9h70G0OB95-Ootd3XnWhcuQfYMUhxEvqQl3ecShNS0Q3yjP_wkIel2CH99NhP1RkYkygiM-k1sgkQujn-9jNdcTqHqhk7LGraAkEEgdJ3Cu3Nmc6zlurnXErGKytZIipOW2QnbWvzk7DcFoM0AclxyYoroncC7rAcsr_OPlcAnW5sekhhBKeefuByMmnUszfVhXHGz868Shl6DeZrHDuqhVG32JHS78Towin&amp;csui=3&amp;ved=2ahUKEwiA8sPWoqOTAxV1sFYBHYPfI5YQgK4QegQIAx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